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D0" w:rsidRDefault="004A74E1" w:rsidP="004A74E1">
      <w:pPr>
        <w:spacing w:after="0" w:line="240" w:lineRule="auto"/>
      </w:pPr>
      <w:r>
        <w:rPr>
          <w:noProof/>
        </w:rPr>
        <mc:AlternateContent>
          <mc:Choice Requires="wps">
            <w:drawing>
              <wp:anchor distT="0" distB="0" distL="114300" distR="114300" simplePos="0" relativeHeight="251658752" behindDoc="0" locked="0" layoutInCell="1" allowOverlap="1" wp14:anchorId="5904ED11" wp14:editId="2D079B30">
                <wp:simplePos x="0" y="0"/>
                <wp:positionH relativeFrom="column">
                  <wp:posOffset>4986020</wp:posOffset>
                </wp:positionH>
                <wp:positionV relativeFrom="paragraph">
                  <wp:posOffset>-864708</wp:posOffset>
                </wp:positionV>
                <wp:extent cx="3710275" cy="522605"/>
                <wp:effectExtent l="0" t="0" r="0" b="0"/>
                <wp:wrapNone/>
                <wp:docPr id="4" name="TextBox 3"/>
                <wp:cNvGraphicFramePr/>
                <a:graphic xmlns:a="http://schemas.openxmlformats.org/drawingml/2006/main">
                  <a:graphicData uri="http://schemas.microsoft.com/office/word/2010/wordprocessingShape">
                    <wps:wsp>
                      <wps:cNvSpPr txBox="1"/>
                      <wps:spPr>
                        <a:xfrm>
                          <a:off x="0" y="0"/>
                          <a:ext cx="3710275" cy="522605"/>
                        </a:xfrm>
                        <a:prstGeom prst="rect">
                          <a:avLst/>
                        </a:prstGeom>
                        <a:noFill/>
                      </wps:spPr>
                      <wps:txbx>
                        <w:txbxContent>
                          <w:p w:rsidR="002A7FD0" w:rsidRPr="004A74E1" w:rsidRDefault="004A74E1" w:rsidP="002A7FD0">
                            <w:pPr>
                              <w:pStyle w:val="NormalWeb"/>
                              <w:spacing w:before="0" w:beforeAutospacing="0" w:after="0" w:afterAutospacing="0"/>
                              <w:rPr>
                                <w:b/>
                                <w:sz w:val="20"/>
                              </w:rPr>
                            </w:pPr>
                            <w:r w:rsidRPr="004A74E1">
                              <w:rPr>
                                <w:rFonts w:ascii="Open Sans" w:eastAsia="+mn-ea" w:hAnsi="Open Sans" w:cs="Open Sans"/>
                                <w:b/>
                                <w:color w:val="FFFFFF"/>
                                <w:kern w:val="24"/>
                                <w:sz w:val="48"/>
                                <w:szCs w:val="56"/>
                              </w:rPr>
                              <w:t>Engagement Strategies for Key Sectors</w:t>
                            </w:r>
                          </w:p>
                        </w:txbxContent>
                      </wps:txbx>
                      <wps:bodyPr wrap="square" rtlCol="0">
                        <a:spAutoFit/>
                      </wps:bodyPr>
                    </wps:wsp>
                  </a:graphicData>
                </a:graphic>
                <wp14:sizeRelH relativeFrom="margin">
                  <wp14:pctWidth>0</wp14:pctWidth>
                </wp14:sizeRelH>
              </wp:anchor>
            </w:drawing>
          </mc:Choice>
          <mc:Fallback>
            <w:pict>
              <v:shapetype w14:anchorId="5904ED11" id="_x0000_t202" coordsize="21600,21600" o:spt="202" path="m,l,21600r21600,l21600,xe">
                <v:stroke joinstyle="miter"/>
                <v:path gradientshapeok="t" o:connecttype="rect"/>
              </v:shapetype>
              <v:shape id="TextBox 3" o:spid="_x0000_s1026" type="#_x0000_t202" style="position:absolute;margin-left:392.6pt;margin-top:-68.1pt;width:292.15pt;height:41.1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" filled="f" stroked="f">
                <v:textbox style="mso-fit-shape-to-text:t">
                  <w:txbxContent>
                    <w:p w:rsidR="002A7FD0" w:rsidRPr="004A74E1" w:rsidRDefault="004A74E1" w:rsidP="002A7FD0">
                      <w:pPr>
                        <w:pStyle w:val="NormalWeb"/>
                        <w:spacing w:before="0" w:beforeAutospacing="0" w:after="0" w:afterAutospacing="0"/>
                        <w:rPr>
                          <w:b/>
                          <w:sz w:val="20"/>
                        </w:rPr>
                      </w:pPr>
                      <w:r w:rsidRPr="004A74E1">
                        <w:rPr>
                          <w:rFonts w:ascii="Open Sans" w:eastAsia="+mn-ea" w:hAnsi="Open Sans" w:cs="Open Sans"/>
                          <w:b/>
                          <w:color w:val="FFFFFF"/>
                          <w:kern w:val="24"/>
                          <w:sz w:val="48"/>
                          <w:szCs w:val="56"/>
                        </w:rPr>
                        <w:t>Engagement Strategies for Key Sectors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40EE5E0" wp14:editId="0A959639">
                <wp:simplePos x="0" y="0"/>
                <wp:positionH relativeFrom="page">
                  <wp:align>left</wp:align>
                </wp:positionH>
                <wp:positionV relativeFrom="paragraph">
                  <wp:posOffset>-903767</wp:posOffset>
                </wp:positionV>
                <wp:extent cx="10164726" cy="942975"/>
                <wp:effectExtent l="0" t="0" r="27305" b="28575"/>
                <wp:wrapNone/>
                <wp:docPr id="10" name="Rectangle 9"/>
                <wp:cNvGraphicFramePr/>
                <a:graphic xmlns:a="http://schemas.openxmlformats.org/drawingml/2006/main">
                  <a:graphicData uri="http://schemas.microsoft.com/office/word/2010/wordprocessingShape">
                    <wps:wsp>
                      <wps:cNvSpPr/>
                      <wps:spPr>
                        <a:xfrm>
                          <a:off x="0" y="0"/>
                          <a:ext cx="10164726" cy="942975"/>
                        </a:xfrm>
                        <a:prstGeom prst="rect">
                          <a:avLst/>
                        </a:prstGeom>
                        <a:solidFill>
                          <a:srgbClr val="425968"/>
                        </a:solidFill>
                        <a:ln w="25400" cap="flat" cmpd="sng" algn="ctr">
                          <a:solidFill>
                            <a:srgbClr val="425968"/>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0888FC3" id="Rectangle 9" o:spid="_x0000_s1026" style="position:absolute;margin-left:0;margin-top:-71.15pt;width:800.35pt;height:74.2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" fillcolor="#425968" strokecolor="#425968" strokeweight="2pt">
                <w10:wrap anchorx="page"/>
              </v:rect>
            </w:pict>
          </mc:Fallback>
        </mc:AlternateContent>
      </w:r>
      <w:r w:rsidR="00775F36">
        <w:rPr>
          <w:noProof/>
        </w:rPr>
        <w:drawing>
          <wp:anchor distT="0" distB="0" distL="114300" distR="114300" simplePos="0" relativeHeight="251660800" behindDoc="0" locked="0" layoutInCell="1" allowOverlap="1" wp14:anchorId="02DC8AD5" wp14:editId="61C6CD71">
            <wp:simplePos x="0" y="0"/>
            <wp:positionH relativeFrom="margin">
              <wp:posOffset>0</wp:posOffset>
            </wp:positionH>
            <wp:positionV relativeFrom="paragraph">
              <wp:posOffset>-657550</wp:posOffset>
            </wp:positionV>
            <wp:extent cx="2743200" cy="57602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576025"/>
                    </a:xfrm>
                    <a:prstGeom prst="rect">
                      <a:avLst/>
                    </a:prstGeom>
                  </pic:spPr>
                </pic:pic>
              </a:graphicData>
            </a:graphic>
          </wp:anchor>
        </w:drawing>
      </w:r>
    </w:p>
    <w:p w:rsidR="004A74E1" w:rsidRDefault="002A7FD0" w:rsidP="004A74E1">
      <w:pPr>
        <w:tabs>
          <w:tab w:val="left" w:pos="3150"/>
        </w:tabs>
        <w:spacing w:after="0" w:line="240" w:lineRule="auto"/>
        <w:jc w:val="center"/>
        <w:rPr>
          <w:rFonts w:ascii="Open Sans" w:hAnsi="Open Sans" w:cs="Open Sans"/>
          <w:b/>
          <w:color w:val="415968"/>
          <w:sz w:val="28"/>
        </w:rPr>
      </w:pPr>
      <w:r>
        <w:rPr>
          <w:noProof/>
        </w:rPr>
        <w:drawing>
          <wp:anchor distT="0" distB="0" distL="114300" distR="114300" simplePos="0" relativeHeight="251656704" behindDoc="0" locked="0" layoutInCell="1" allowOverlap="1" wp14:anchorId="0E6459BC" wp14:editId="3AD34B7A">
            <wp:simplePos x="0" y="0"/>
            <wp:positionH relativeFrom="column">
              <wp:posOffset>-392430</wp:posOffset>
            </wp:positionH>
            <wp:positionV relativeFrom="paragraph">
              <wp:posOffset>-1030605</wp:posOffset>
            </wp:positionV>
            <wp:extent cx="2743200" cy="57602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576025"/>
                    </a:xfrm>
                    <a:prstGeom prst="rect">
                      <a:avLst/>
                    </a:prstGeom>
                  </pic:spPr>
                </pic:pic>
              </a:graphicData>
            </a:graphic>
          </wp:anchor>
        </w:drawing>
      </w:r>
      <w:r w:rsidR="004A74E1">
        <w:rPr>
          <w:rFonts w:ascii="Open Sans" w:hAnsi="Open Sans" w:cs="Open Sans"/>
          <w:b/>
          <w:color w:val="415968"/>
          <w:sz w:val="28"/>
        </w:rPr>
        <w:t>Engagement Strategies for Key Sectors</w:t>
      </w:r>
    </w:p>
    <w:p w:rsidR="00781161" w:rsidRPr="00781161" w:rsidRDefault="00781161" w:rsidP="004A74E1">
      <w:pPr>
        <w:tabs>
          <w:tab w:val="left" w:pos="3150"/>
        </w:tabs>
        <w:spacing w:after="0" w:line="240" w:lineRule="auto"/>
        <w:jc w:val="center"/>
        <w:rPr>
          <w:rFonts w:ascii="Open Sans" w:hAnsi="Open Sans" w:cs="Open Sans"/>
          <w:b/>
          <w:color w:val="415968"/>
          <w:sz w:val="6"/>
          <w:szCs w:val="6"/>
        </w:rPr>
      </w:pPr>
    </w:p>
    <w:p w:rsidR="004A74E1" w:rsidRPr="004A74E1" w:rsidRDefault="004A74E1" w:rsidP="004A74E1">
      <w:pPr>
        <w:tabs>
          <w:tab w:val="left" w:pos="3150"/>
        </w:tabs>
        <w:spacing w:after="0" w:line="240" w:lineRule="auto"/>
        <w:jc w:val="center"/>
        <w:rPr>
          <w:rFonts w:ascii="Open Sans" w:hAnsi="Open Sans" w:cs="Open Sans"/>
          <w:b/>
          <w:color w:val="415968"/>
          <w:sz w:val="2"/>
          <w:szCs w:val="2"/>
        </w:rPr>
      </w:pPr>
    </w:p>
    <w:tbl>
      <w:tblPr>
        <w:tblStyle w:val="TableGrid"/>
        <w:tblW w:w="14490" w:type="dxa"/>
        <w:tblInd w:w="-815" w:type="dxa"/>
        <w:tblLook w:val="04A0" w:firstRow="1" w:lastRow="0" w:firstColumn="1" w:lastColumn="0" w:noHBand="0" w:noVBand="1"/>
      </w:tblPr>
      <w:tblGrid>
        <w:gridCol w:w="1399"/>
        <w:gridCol w:w="3641"/>
        <w:gridCol w:w="3150"/>
        <w:gridCol w:w="6300"/>
      </w:tblGrid>
      <w:tr w:rsidR="004A74E1" w:rsidRPr="004A74E1" w:rsidTr="00781161">
        <w:trPr>
          <w:trHeight w:val="404"/>
        </w:trPr>
        <w:tc>
          <w:tcPr>
            <w:tcW w:w="1399" w:type="dxa"/>
            <w:shd w:val="clear" w:color="auto" w:fill="415968"/>
            <w:vAlign w:val="center"/>
          </w:tcPr>
          <w:p w:rsidR="004A74E1" w:rsidRPr="004A74E1" w:rsidRDefault="004A74E1" w:rsidP="004A74E1">
            <w:pPr>
              <w:tabs>
                <w:tab w:val="left" w:pos="3150"/>
              </w:tabs>
              <w:jc w:val="center"/>
              <w:rPr>
                <w:b/>
                <w:color w:val="FFFFFF" w:themeColor="background1"/>
              </w:rPr>
            </w:pPr>
            <w:r w:rsidRPr="004A74E1">
              <w:rPr>
                <w:b/>
                <w:color w:val="FFFFFF" w:themeColor="background1"/>
              </w:rPr>
              <w:t>Sector</w:t>
            </w:r>
          </w:p>
        </w:tc>
        <w:tc>
          <w:tcPr>
            <w:tcW w:w="3641" w:type="dxa"/>
            <w:shd w:val="clear" w:color="auto" w:fill="415968"/>
            <w:vAlign w:val="center"/>
          </w:tcPr>
          <w:p w:rsidR="004A74E1" w:rsidRPr="004A74E1" w:rsidRDefault="004A74E1" w:rsidP="004A74E1">
            <w:pPr>
              <w:tabs>
                <w:tab w:val="left" w:pos="3150"/>
              </w:tabs>
              <w:jc w:val="center"/>
              <w:rPr>
                <w:b/>
                <w:color w:val="FFFFFF" w:themeColor="background1"/>
              </w:rPr>
            </w:pPr>
            <w:r w:rsidRPr="004A74E1">
              <w:rPr>
                <w:b/>
                <w:color w:val="FFFFFF" w:themeColor="background1"/>
              </w:rPr>
              <w:t>Motivation</w:t>
            </w:r>
          </w:p>
        </w:tc>
        <w:tc>
          <w:tcPr>
            <w:tcW w:w="3150" w:type="dxa"/>
            <w:shd w:val="clear" w:color="auto" w:fill="415968"/>
            <w:vAlign w:val="center"/>
          </w:tcPr>
          <w:p w:rsidR="004A74E1" w:rsidRPr="004A74E1" w:rsidRDefault="004A74E1" w:rsidP="004A74E1">
            <w:pPr>
              <w:tabs>
                <w:tab w:val="left" w:pos="3150"/>
              </w:tabs>
              <w:jc w:val="center"/>
              <w:rPr>
                <w:b/>
                <w:color w:val="FFFFFF" w:themeColor="background1"/>
              </w:rPr>
            </w:pPr>
            <w:r w:rsidRPr="004A74E1">
              <w:rPr>
                <w:b/>
                <w:color w:val="FFFFFF" w:themeColor="background1"/>
              </w:rPr>
              <w:t>Reservations</w:t>
            </w:r>
          </w:p>
        </w:tc>
        <w:tc>
          <w:tcPr>
            <w:tcW w:w="6300" w:type="dxa"/>
            <w:shd w:val="clear" w:color="auto" w:fill="415968"/>
            <w:vAlign w:val="center"/>
          </w:tcPr>
          <w:p w:rsidR="004A74E1" w:rsidRPr="004A74E1" w:rsidRDefault="004A74E1" w:rsidP="004A74E1">
            <w:pPr>
              <w:tabs>
                <w:tab w:val="left" w:pos="3150"/>
              </w:tabs>
              <w:jc w:val="center"/>
              <w:rPr>
                <w:b/>
                <w:color w:val="FFFFFF" w:themeColor="background1"/>
              </w:rPr>
            </w:pPr>
            <w:r w:rsidRPr="004A74E1">
              <w:rPr>
                <w:b/>
                <w:color w:val="FFFFFF" w:themeColor="background1"/>
              </w:rPr>
              <w:t>Strategies for Engagement</w:t>
            </w:r>
          </w:p>
        </w:tc>
      </w:tr>
      <w:tr w:rsidR="004A74E1" w:rsidRPr="004A74E1" w:rsidTr="005F5315">
        <w:trPr>
          <w:trHeight w:val="2533"/>
        </w:trPr>
        <w:tc>
          <w:tcPr>
            <w:tcW w:w="1399" w:type="dxa"/>
            <w:shd w:val="clear" w:color="auto" w:fill="98B0BE"/>
            <w:vAlign w:val="center"/>
          </w:tcPr>
          <w:p w:rsidR="004A74E1" w:rsidRPr="004A74E1" w:rsidRDefault="004A74E1" w:rsidP="002B2AC9">
            <w:pPr>
              <w:tabs>
                <w:tab w:val="left" w:pos="3150"/>
              </w:tabs>
              <w:jc w:val="center"/>
              <w:rPr>
                <w:b/>
              </w:rPr>
            </w:pPr>
            <w:r w:rsidRPr="004A74E1">
              <w:rPr>
                <w:b/>
              </w:rPr>
              <w:t>Philanthropy</w:t>
            </w:r>
          </w:p>
        </w:tc>
        <w:tc>
          <w:tcPr>
            <w:tcW w:w="3641" w:type="dxa"/>
            <w:vAlign w:val="center"/>
          </w:tcPr>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Gr</w:t>
            </w:r>
            <w:r w:rsidRPr="005B42FA">
              <w:rPr>
                <w:rFonts w:ascii="Calibri" w:eastAsia="Calibri" w:hAnsi="Calibri" w:cs="Calibri"/>
                <w:spacing w:val="1"/>
              </w:rPr>
              <w:t>e</w:t>
            </w:r>
            <w:r w:rsidRPr="005B42FA">
              <w:rPr>
                <w:rFonts w:ascii="Calibri" w:eastAsia="Calibri" w:hAnsi="Calibri" w:cs="Calibri"/>
              </w:rPr>
              <w:t>a</w:t>
            </w:r>
            <w:r w:rsidRPr="005B42FA">
              <w:rPr>
                <w:rFonts w:ascii="Calibri" w:eastAsia="Calibri" w:hAnsi="Calibri" w:cs="Calibri"/>
                <w:spacing w:val="1"/>
              </w:rPr>
              <w:t>te</w:t>
            </w:r>
            <w:r w:rsidRPr="005B42FA">
              <w:rPr>
                <w:rFonts w:ascii="Calibri" w:eastAsia="Calibri" w:hAnsi="Calibri" w:cs="Calibri"/>
              </w:rPr>
              <w:t>r</w:t>
            </w:r>
            <w:r w:rsidRPr="005B42FA">
              <w:rPr>
                <w:rFonts w:ascii="Calibri" w:eastAsia="Calibri" w:hAnsi="Calibri" w:cs="Calibri"/>
                <w:spacing w:val="-9"/>
              </w:rPr>
              <w:t xml:space="preserve"> </w:t>
            </w:r>
            <w:r w:rsidRPr="005B42FA">
              <w:rPr>
                <w:rFonts w:ascii="Calibri" w:eastAsia="Calibri" w:hAnsi="Calibri" w:cs="Calibri"/>
              </w:rPr>
              <w:t>“S</w:t>
            </w:r>
            <w:r w:rsidRPr="005B42FA">
              <w:rPr>
                <w:rFonts w:ascii="Calibri" w:eastAsia="Calibri" w:hAnsi="Calibri" w:cs="Calibri"/>
                <w:spacing w:val="1"/>
              </w:rPr>
              <w:t>o</w:t>
            </w:r>
            <w:r w:rsidRPr="005B42FA">
              <w:rPr>
                <w:rFonts w:ascii="Calibri" w:eastAsia="Calibri" w:hAnsi="Calibri" w:cs="Calibri"/>
                <w:spacing w:val="-1"/>
              </w:rPr>
              <w:t>c</w:t>
            </w:r>
            <w:r w:rsidRPr="005B42FA">
              <w:rPr>
                <w:rFonts w:ascii="Calibri" w:eastAsia="Calibri" w:hAnsi="Calibri" w:cs="Calibri"/>
              </w:rPr>
              <w:t xml:space="preserve">ial </w:t>
            </w:r>
            <w:r w:rsidRPr="005B42FA">
              <w:rPr>
                <w:rFonts w:ascii="Calibri" w:eastAsia="Calibri" w:hAnsi="Calibri" w:cs="Calibri"/>
                <w:spacing w:val="-1"/>
              </w:rPr>
              <w:t>R</w:t>
            </w:r>
            <w:r w:rsidRPr="005B42FA">
              <w:rPr>
                <w:rFonts w:ascii="Calibri" w:eastAsia="Calibri" w:hAnsi="Calibri" w:cs="Calibri"/>
                <w:spacing w:val="-2"/>
              </w:rPr>
              <w:t>e</w:t>
            </w:r>
            <w:r w:rsidRPr="005B42FA">
              <w:rPr>
                <w:rFonts w:ascii="Calibri" w:eastAsia="Calibri" w:hAnsi="Calibri" w:cs="Calibri"/>
                <w:spacing w:val="1"/>
              </w:rPr>
              <w:t>tu</w:t>
            </w:r>
            <w:r w:rsidRPr="005B42FA">
              <w:rPr>
                <w:rFonts w:ascii="Calibri" w:eastAsia="Calibri" w:hAnsi="Calibri" w:cs="Calibri"/>
                <w:spacing w:val="-2"/>
              </w:rPr>
              <w:t>r</w:t>
            </w:r>
            <w:r w:rsidRPr="005B42FA">
              <w:rPr>
                <w:rFonts w:ascii="Calibri" w:eastAsia="Calibri" w:hAnsi="Calibri" w:cs="Calibri"/>
              </w:rPr>
              <w:t>n</w:t>
            </w:r>
            <w:r w:rsidRPr="005B42FA">
              <w:rPr>
                <w:rFonts w:ascii="Calibri" w:eastAsia="Calibri" w:hAnsi="Calibri" w:cs="Calibri"/>
                <w:spacing w:val="-5"/>
              </w:rPr>
              <w:t xml:space="preserve"> </w:t>
            </w:r>
            <w:r w:rsidRPr="005B42FA">
              <w:rPr>
                <w:rFonts w:ascii="Calibri" w:eastAsia="Calibri" w:hAnsi="Calibri" w:cs="Calibri"/>
                <w:spacing w:val="-2"/>
              </w:rPr>
              <w:t>o</w:t>
            </w:r>
            <w:r w:rsidRPr="005B42FA">
              <w:rPr>
                <w:rFonts w:ascii="Calibri" w:eastAsia="Calibri" w:hAnsi="Calibri" w:cs="Calibri"/>
              </w:rPr>
              <w:t>n</w:t>
            </w:r>
            <w:r w:rsidRPr="005B42FA">
              <w:rPr>
                <w:rFonts w:ascii="Calibri" w:eastAsia="Calibri" w:hAnsi="Calibri" w:cs="Calibri"/>
                <w:spacing w:val="2"/>
              </w:rPr>
              <w:t xml:space="preserve"> </w:t>
            </w:r>
            <w:r w:rsidRPr="005B42FA">
              <w:rPr>
                <w:rFonts w:ascii="Calibri" w:eastAsia="Calibri" w:hAnsi="Calibri" w:cs="Calibri"/>
              </w:rPr>
              <w:t>I</w:t>
            </w:r>
            <w:r w:rsidRPr="005B42FA">
              <w:rPr>
                <w:rFonts w:ascii="Calibri" w:eastAsia="Calibri" w:hAnsi="Calibri" w:cs="Calibri"/>
                <w:spacing w:val="1"/>
              </w:rPr>
              <w:t>n</w:t>
            </w:r>
            <w:r w:rsidRPr="005B42FA">
              <w:rPr>
                <w:rFonts w:ascii="Calibri" w:eastAsia="Calibri" w:hAnsi="Calibri" w:cs="Calibri"/>
              </w:rPr>
              <w:t>v</w:t>
            </w:r>
            <w:r w:rsidRPr="005B42FA">
              <w:rPr>
                <w:rFonts w:ascii="Calibri" w:eastAsia="Calibri" w:hAnsi="Calibri" w:cs="Calibri"/>
                <w:spacing w:val="1"/>
              </w:rPr>
              <w:t>e</w:t>
            </w:r>
            <w:r w:rsidRPr="005B42FA">
              <w:rPr>
                <w:rFonts w:ascii="Calibri" w:eastAsia="Calibri" w:hAnsi="Calibri" w:cs="Calibri"/>
                <w:spacing w:val="-3"/>
              </w:rPr>
              <w:t>s</w:t>
            </w:r>
            <w:r w:rsidRPr="005B42FA">
              <w:rPr>
                <w:rFonts w:ascii="Calibri" w:eastAsia="Calibri" w:hAnsi="Calibri" w:cs="Calibri"/>
                <w:spacing w:val="1"/>
              </w:rPr>
              <w:t>t</w:t>
            </w:r>
            <w:r w:rsidRPr="005B42FA">
              <w:rPr>
                <w:rFonts w:ascii="Calibri" w:eastAsia="Calibri" w:hAnsi="Calibri" w:cs="Calibri"/>
              </w:rPr>
              <w:t>m</w:t>
            </w:r>
            <w:r w:rsidRPr="005B42FA">
              <w:rPr>
                <w:rFonts w:ascii="Calibri" w:eastAsia="Calibri" w:hAnsi="Calibri" w:cs="Calibri"/>
                <w:spacing w:val="1"/>
              </w:rPr>
              <w:t>e</w:t>
            </w:r>
            <w:r w:rsidRPr="005B42FA">
              <w:rPr>
                <w:rFonts w:ascii="Calibri" w:eastAsia="Calibri" w:hAnsi="Calibri" w:cs="Calibri"/>
                <w:spacing w:val="-1"/>
              </w:rPr>
              <w:t>n</w:t>
            </w:r>
            <w:r w:rsidRPr="005B42FA">
              <w:rPr>
                <w:rFonts w:ascii="Calibri" w:eastAsia="Calibri" w:hAnsi="Calibri" w:cs="Calibri"/>
                <w:spacing w:val="1"/>
              </w:rPr>
              <w:t>t</w:t>
            </w:r>
            <w:r w:rsidRPr="005B42FA">
              <w:rPr>
                <w:rFonts w:ascii="Calibri" w:eastAsia="Calibri" w:hAnsi="Calibri" w:cs="Calibri"/>
              </w:rPr>
              <w:t>”</w:t>
            </w:r>
            <w:r w:rsidRPr="005B42FA">
              <w:rPr>
                <w:rFonts w:ascii="Calibri" w:eastAsia="Calibri" w:hAnsi="Calibri" w:cs="Calibri"/>
                <w:spacing w:val="-7"/>
              </w:rPr>
              <w:t xml:space="preserve"> </w:t>
            </w:r>
            <w:r w:rsidRPr="005B42FA">
              <w:rPr>
                <w:rFonts w:ascii="Calibri" w:eastAsia="Calibri" w:hAnsi="Calibri" w:cs="Calibri"/>
                <w:spacing w:val="1"/>
              </w:rPr>
              <w:t>fo</w:t>
            </w:r>
            <w:r w:rsidRPr="005B42FA">
              <w:rPr>
                <w:rFonts w:ascii="Calibri" w:eastAsia="Calibri" w:hAnsi="Calibri" w:cs="Calibri"/>
              </w:rPr>
              <w:t>r</w:t>
            </w:r>
            <w:r w:rsidRPr="005B42FA">
              <w:rPr>
                <w:rFonts w:ascii="Calibri" w:eastAsia="Calibri" w:hAnsi="Calibri" w:cs="Calibri"/>
                <w:spacing w:val="-2"/>
              </w:rPr>
              <w:t xml:space="preserve"> </w:t>
            </w:r>
            <w:r w:rsidRPr="005B42FA">
              <w:rPr>
                <w:rFonts w:ascii="Calibri" w:eastAsia="Calibri" w:hAnsi="Calibri" w:cs="Calibri"/>
                <w:spacing w:val="1"/>
              </w:rPr>
              <w:t>do</w:t>
            </w:r>
            <w:r w:rsidRPr="005B42FA">
              <w:rPr>
                <w:rFonts w:ascii="Calibri" w:eastAsia="Calibri" w:hAnsi="Calibri" w:cs="Calibri"/>
              </w:rPr>
              <w:t>l</w:t>
            </w:r>
            <w:r w:rsidRPr="005B42FA">
              <w:rPr>
                <w:rFonts w:ascii="Calibri" w:eastAsia="Calibri" w:hAnsi="Calibri" w:cs="Calibri"/>
                <w:spacing w:val="-2"/>
              </w:rPr>
              <w:t>l</w:t>
            </w:r>
            <w:r w:rsidRPr="005B42FA">
              <w:rPr>
                <w:rFonts w:ascii="Calibri" w:eastAsia="Calibri" w:hAnsi="Calibri" w:cs="Calibri"/>
              </w:rPr>
              <w:t>ars</w:t>
            </w:r>
            <w:r w:rsidRPr="005B42FA">
              <w:rPr>
                <w:rFonts w:ascii="Calibri" w:eastAsia="Calibri" w:hAnsi="Calibri" w:cs="Calibri"/>
                <w:spacing w:val="-5"/>
              </w:rPr>
              <w:t xml:space="preserve"> </w:t>
            </w:r>
            <w:r w:rsidRPr="005B42FA">
              <w:rPr>
                <w:rFonts w:ascii="Calibri" w:eastAsia="Calibri" w:hAnsi="Calibri" w:cs="Calibri"/>
              </w:rPr>
              <w:t>i</w:t>
            </w:r>
            <w:r w:rsidRPr="005B42FA">
              <w:rPr>
                <w:rFonts w:ascii="Calibri" w:eastAsia="Calibri" w:hAnsi="Calibri" w:cs="Calibri"/>
                <w:spacing w:val="1"/>
              </w:rPr>
              <w:t>n</w:t>
            </w:r>
            <w:r w:rsidRPr="005B42FA">
              <w:rPr>
                <w:rFonts w:ascii="Calibri" w:eastAsia="Calibri" w:hAnsi="Calibri" w:cs="Calibri"/>
              </w:rPr>
              <w:t>v</w:t>
            </w:r>
            <w:r w:rsidRPr="005B42FA">
              <w:rPr>
                <w:rFonts w:ascii="Calibri" w:eastAsia="Calibri" w:hAnsi="Calibri" w:cs="Calibri"/>
                <w:spacing w:val="1"/>
              </w:rPr>
              <w:t>e</w:t>
            </w:r>
            <w:r w:rsidRPr="005B42FA">
              <w:rPr>
                <w:rFonts w:ascii="Calibri" w:eastAsia="Calibri" w:hAnsi="Calibri" w:cs="Calibri"/>
              </w:rPr>
              <w:t>s</w:t>
            </w:r>
            <w:r w:rsidRPr="005B42FA">
              <w:rPr>
                <w:rFonts w:ascii="Calibri" w:eastAsia="Calibri" w:hAnsi="Calibri" w:cs="Calibri"/>
                <w:spacing w:val="-1"/>
              </w:rPr>
              <w:t>t</w:t>
            </w:r>
            <w:r w:rsidRPr="005B42FA">
              <w:rPr>
                <w:rFonts w:ascii="Calibri" w:eastAsia="Calibri" w:hAnsi="Calibri" w:cs="Calibri"/>
                <w:spacing w:val="1"/>
              </w:rPr>
              <w:t>e</w:t>
            </w:r>
            <w:r w:rsidRPr="005B42FA">
              <w:rPr>
                <w:rFonts w:ascii="Calibri" w:eastAsia="Calibri" w:hAnsi="Calibri" w:cs="Calibri"/>
              </w:rPr>
              <w:t>d</w:t>
            </w:r>
            <w:r w:rsidRPr="005B42FA">
              <w:rPr>
                <w:rFonts w:ascii="Calibri" w:eastAsia="Calibri" w:hAnsi="Calibri" w:cs="Calibri"/>
                <w:spacing w:val="-2"/>
              </w:rPr>
              <w:t xml:space="preserve"> </w:t>
            </w:r>
            <w:r w:rsidRPr="005B42FA">
              <w:rPr>
                <w:rFonts w:ascii="Calibri" w:eastAsia="Calibri" w:hAnsi="Calibri" w:cs="Calibri"/>
                <w:spacing w:val="-1"/>
              </w:rPr>
              <w:t>w</w:t>
            </w:r>
            <w:r w:rsidRPr="005B42FA">
              <w:rPr>
                <w:rFonts w:ascii="Calibri" w:eastAsia="Calibri" w:hAnsi="Calibri" w:cs="Calibri"/>
                <w:spacing w:val="-2"/>
              </w:rPr>
              <w:t>i</w:t>
            </w:r>
            <w:r w:rsidRPr="005B42FA">
              <w:rPr>
                <w:rFonts w:ascii="Calibri" w:eastAsia="Calibri" w:hAnsi="Calibri" w:cs="Calibri"/>
                <w:spacing w:val="1"/>
              </w:rPr>
              <w:t>th</w:t>
            </w:r>
            <w:r w:rsidRPr="005B42FA">
              <w:rPr>
                <w:rFonts w:ascii="Calibri" w:eastAsia="Calibri" w:hAnsi="Calibri" w:cs="Calibri"/>
              </w:rPr>
              <w:t>in</w:t>
            </w:r>
            <w:r w:rsidRPr="005B42FA">
              <w:rPr>
                <w:rFonts w:ascii="Calibri" w:eastAsia="Calibri" w:hAnsi="Calibri" w:cs="Calibri"/>
                <w:spacing w:val="-3"/>
              </w:rPr>
              <w:t xml:space="preserve"> </w:t>
            </w:r>
            <w:r w:rsidRPr="005B42FA">
              <w:rPr>
                <w:rFonts w:ascii="Calibri" w:eastAsia="Calibri" w:hAnsi="Calibri" w:cs="Calibri"/>
              </w:rPr>
              <w:t>a</w:t>
            </w:r>
            <w:r w:rsidRPr="005B42FA">
              <w:rPr>
                <w:rFonts w:ascii="Calibri" w:eastAsia="Calibri" w:hAnsi="Calibri" w:cs="Calibri"/>
                <w:spacing w:val="1"/>
              </w:rPr>
              <w:t xml:space="preserve"> </w:t>
            </w:r>
            <w:r w:rsidRPr="005B42FA">
              <w:rPr>
                <w:rFonts w:ascii="Calibri" w:eastAsia="Calibri" w:hAnsi="Calibri" w:cs="Calibri"/>
                <w:spacing w:val="-1"/>
              </w:rPr>
              <w:t>c</w:t>
            </w:r>
            <w:r w:rsidRPr="005B42FA">
              <w:rPr>
                <w:rFonts w:ascii="Calibri" w:eastAsia="Calibri" w:hAnsi="Calibri" w:cs="Calibri"/>
                <w:spacing w:val="1"/>
              </w:rPr>
              <w:t>o</w:t>
            </w:r>
            <w:r w:rsidRPr="005B42FA">
              <w:rPr>
                <w:rFonts w:ascii="Calibri" w:eastAsia="Calibri" w:hAnsi="Calibri" w:cs="Calibri"/>
                <w:spacing w:val="-2"/>
              </w:rPr>
              <w:t>mm</w:t>
            </w:r>
            <w:r w:rsidRPr="005B42FA">
              <w:rPr>
                <w:rFonts w:ascii="Calibri" w:eastAsia="Calibri" w:hAnsi="Calibri" w:cs="Calibri"/>
                <w:spacing w:val="1"/>
              </w:rPr>
              <w:t>un</w:t>
            </w:r>
            <w:r w:rsidRPr="005B42FA">
              <w:rPr>
                <w:rFonts w:ascii="Calibri" w:eastAsia="Calibri" w:hAnsi="Calibri" w:cs="Calibri"/>
              </w:rPr>
              <w:t>i</w:t>
            </w:r>
            <w:r w:rsidRPr="005B42FA">
              <w:rPr>
                <w:rFonts w:ascii="Calibri" w:eastAsia="Calibri" w:hAnsi="Calibri" w:cs="Calibri"/>
                <w:spacing w:val="1"/>
              </w:rPr>
              <w:t>t</w:t>
            </w:r>
            <w:r w:rsidRPr="005B42FA">
              <w:rPr>
                <w:rFonts w:ascii="Calibri" w:eastAsia="Calibri" w:hAnsi="Calibri" w:cs="Calibri"/>
              </w:rPr>
              <w:t>y</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I</w:t>
            </w:r>
            <w:r w:rsidRPr="005B42FA">
              <w:rPr>
                <w:rFonts w:ascii="Calibri" w:eastAsia="Calibri" w:hAnsi="Calibri" w:cs="Calibri"/>
                <w:spacing w:val="1"/>
              </w:rPr>
              <w:t>n</w:t>
            </w:r>
            <w:r w:rsidRPr="005B42FA">
              <w:rPr>
                <w:rFonts w:ascii="Calibri" w:eastAsia="Calibri" w:hAnsi="Calibri" w:cs="Calibri"/>
                <w:spacing w:val="-1"/>
              </w:rPr>
              <w:t>c</w:t>
            </w:r>
            <w:r w:rsidRPr="005B42FA">
              <w:rPr>
                <w:rFonts w:ascii="Calibri" w:eastAsia="Calibri" w:hAnsi="Calibri" w:cs="Calibri"/>
              </w:rPr>
              <w:t>r</w:t>
            </w:r>
            <w:r w:rsidRPr="005B42FA">
              <w:rPr>
                <w:rFonts w:ascii="Calibri" w:eastAsia="Calibri" w:hAnsi="Calibri" w:cs="Calibri"/>
                <w:spacing w:val="1"/>
              </w:rPr>
              <w:t>e</w:t>
            </w:r>
            <w:r w:rsidRPr="005B42FA">
              <w:rPr>
                <w:rFonts w:ascii="Calibri" w:eastAsia="Calibri" w:hAnsi="Calibri" w:cs="Calibri"/>
              </w:rPr>
              <w:t>as</w:t>
            </w:r>
            <w:r w:rsidRPr="005B42FA">
              <w:rPr>
                <w:rFonts w:ascii="Calibri" w:eastAsia="Calibri" w:hAnsi="Calibri" w:cs="Calibri"/>
                <w:spacing w:val="1"/>
              </w:rPr>
              <w:t>e</w:t>
            </w:r>
            <w:r w:rsidRPr="005B42FA">
              <w:rPr>
                <w:rFonts w:ascii="Calibri" w:eastAsia="Calibri" w:hAnsi="Calibri" w:cs="Calibri"/>
              </w:rPr>
              <w:t>d</w:t>
            </w:r>
            <w:r w:rsidRPr="005B42FA">
              <w:rPr>
                <w:rFonts w:ascii="Calibri" w:eastAsia="Calibri" w:hAnsi="Calibri" w:cs="Calibri"/>
                <w:spacing w:val="-3"/>
              </w:rPr>
              <w:t xml:space="preserve"> </w:t>
            </w:r>
            <w:r w:rsidRPr="005B42FA">
              <w:rPr>
                <w:rFonts w:ascii="Calibri" w:eastAsia="Calibri" w:hAnsi="Calibri" w:cs="Calibri"/>
                <w:spacing w:val="-1"/>
              </w:rPr>
              <w:t>kn</w:t>
            </w:r>
            <w:r w:rsidRPr="005B42FA">
              <w:rPr>
                <w:rFonts w:ascii="Calibri" w:eastAsia="Calibri" w:hAnsi="Calibri" w:cs="Calibri"/>
                <w:spacing w:val="1"/>
              </w:rPr>
              <w:t>o</w:t>
            </w:r>
            <w:r w:rsidRPr="005B42FA">
              <w:rPr>
                <w:rFonts w:ascii="Calibri" w:eastAsia="Calibri" w:hAnsi="Calibri" w:cs="Calibri"/>
                <w:spacing w:val="-1"/>
              </w:rPr>
              <w:t>w</w:t>
            </w:r>
            <w:r w:rsidRPr="005B42FA">
              <w:rPr>
                <w:rFonts w:ascii="Calibri" w:eastAsia="Calibri" w:hAnsi="Calibri" w:cs="Calibri"/>
              </w:rPr>
              <w:t>le</w:t>
            </w:r>
            <w:r w:rsidRPr="005B42FA">
              <w:rPr>
                <w:rFonts w:ascii="Calibri" w:eastAsia="Calibri" w:hAnsi="Calibri" w:cs="Calibri"/>
                <w:spacing w:val="1"/>
              </w:rPr>
              <w:t>d</w:t>
            </w:r>
            <w:r w:rsidRPr="005B42FA">
              <w:rPr>
                <w:rFonts w:ascii="Calibri" w:eastAsia="Calibri" w:hAnsi="Calibri" w:cs="Calibri"/>
              </w:rPr>
              <w:t>ge</w:t>
            </w:r>
            <w:r w:rsidRPr="005B42FA">
              <w:rPr>
                <w:rFonts w:ascii="Calibri" w:eastAsia="Calibri" w:hAnsi="Calibri" w:cs="Calibri"/>
                <w:spacing w:val="-6"/>
              </w:rPr>
              <w:t xml:space="preserve"> </w:t>
            </w:r>
            <w:r w:rsidRPr="005B42FA">
              <w:rPr>
                <w:rFonts w:ascii="Calibri" w:eastAsia="Calibri" w:hAnsi="Calibri" w:cs="Calibri"/>
                <w:spacing w:val="1"/>
              </w:rPr>
              <w:t>o</w:t>
            </w:r>
            <w:r w:rsidRPr="005B42FA">
              <w:rPr>
                <w:rFonts w:ascii="Calibri" w:eastAsia="Calibri" w:hAnsi="Calibri" w:cs="Calibri"/>
              </w:rPr>
              <w:t>f</w:t>
            </w:r>
            <w:r w:rsidRPr="005B42FA">
              <w:rPr>
                <w:rFonts w:ascii="Calibri" w:eastAsia="Calibri" w:hAnsi="Calibri" w:cs="Calibri"/>
                <w:spacing w:val="-3"/>
              </w:rPr>
              <w:t xml:space="preserve"> </w:t>
            </w:r>
            <w:r w:rsidRPr="005B42FA">
              <w:rPr>
                <w:rFonts w:ascii="Calibri" w:eastAsia="Calibri" w:hAnsi="Calibri" w:cs="Calibri"/>
                <w:spacing w:val="1"/>
              </w:rPr>
              <w:t>b</w:t>
            </w:r>
            <w:r w:rsidRPr="005B42FA">
              <w:rPr>
                <w:rFonts w:ascii="Calibri" w:eastAsia="Calibri" w:hAnsi="Calibri" w:cs="Calibri"/>
              </w:rPr>
              <w:t>r</w:t>
            </w:r>
            <w:r w:rsidRPr="005B42FA">
              <w:rPr>
                <w:rFonts w:ascii="Calibri" w:eastAsia="Calibri" w:hAnsi="Calibri" w:cs="Calibri"/>
                <w:spacing w:val="1"/>
              </w:rPr>
              <w:t>o</w:t>
            </w:r>
            <w:r w:rsidRPr="005B42FA">
              <w:rPr>
                <w:rFonts w:ascii="Calibri" w:eastAsia="Calibri" w:hAnsi="Calibri" w:cs="Calibri"/>
              </w:rPr>
              <w:t>a</w:t>
            </w:r>
            <w:r w:rsidRPr="005B42FA">
              <w:rPr>
                <w:rFonts w:ascii="Calibri" w:eastAsia="Calibri" w:hAnsi="Calibri" w:cs="Calibri"/>
                <w:spacing w:val="-1"/>
              </w:rPr>
              <w:t>d</w:t>
            </w:r>
            <w:r w:rsidRPr="005B42FA">
              <w:rPr>
                <w:rFonts w:ascii="Calibri" w:eastAsia="Calibri" w:hAnsi="Calibri" w:cs="Calibri"/>
                <w:spacing w:val="1"/>
              </w:rPr>
              <w:t>e</w:t>
            </w:r>
            <w:r w:rsidRPr="005B42FA">
              <w:rPr>
                <w:rFonts w:ascii="Calibri" w:eastAsia="Calibri" w:hAnsi="Calibri" w:cs="Calibri"/>
              </w:rPr>
              <w:t>r</w:t>
            </w:r>
            <w:r w:rsidRPr="005B42FA">
              <w:rPr>
                <w:rFonts w:ascii="Calibri" w:eastAsia="Calibri" w:hAnsi="Calibri" w:cs="Calibri"/>
                <w:spacing w:val="-5"/>
              </w:rPr>
              <w:t xml:space="preserve"> </w:t>
            </w:r>
            <w:r w:rsidRPr="005B42FA">
              <w:rPr>
                <w:rFonts w:ascii="Calibri" w:eastAsia="Calibri" w:hAnsi="Calibri" w:cs="Calibri"/>
                <w:spacing w:val="1"/>
              </w:rPr>
              <w:t>f</w:t>
            </w:r>
            <w:r w:rsidRPr="005B42FA">
              <w:rPr>
                <w:rFonts w:ascii="Calibri" w:eastAsia="Calibri" w:hAnsi="Calibri" w:cs="Calibri"/>
                <w:spacing w:val="-1"/>
              </w:rPr>
              <w:t>u</w:t>
            </w:r>
            <w:r w:rsidRPr="005B42FA">
              <w:rPr>
                <w:rFonts w:ascii="Calibri" w:eastAsia="Calibri" w:hAnsi="Calibri" w:cs="Calibri"/>
                <w:spacing w:val="1"/>
              </w:rPr>
              <w:t>nd</w:t>
            </w:r>
            <w:r w:rsidRPr="005B42FA">
              <w:rPr>
                <w:rFonts w:ascii="Calibri" w:eastAsia="Calibri" w:hAnsi="Calibri" w:cs="Calibri"/>
                <w:spacing w:val="-2"/>
              </w:rPr>
              <w:t>i</w:t>
            </w:r>
            <w:r w:rsidRPr="005B42FA">
              <w:rPr>
                <w:rFonts w:ascii="Calibri" w:eastAsia="Calibri" w:hAnsi="Calibri" w:cs="Calibri"/>
                <w:spacing w:val="1"/>
              </w:rPr>
              <w:t>n</w:t>
            </w:r>
            <w:r w:rsidRPr="005B42FA">
              <w:rPr>
                <w:rFonts w:ascii="Calibri" w:eastAsia="Calibri" w:hAnsi="Calibri" w:cs="Calibri"/>
              </w:rPr>
              <w:t xml:space="preserve">g </w:t>
            </w:r>
            <w:r w:rsidRPr="005B42FA">
              <w:rPr>
                <w:rFonts w:ascii="Calibri" w:eastAsia="Calibri" w:hAnsi="Calibri" w:cs="Calibri"/>
                <w:spacing w:val="-1"/>
              </w:rPr>
              <w:t>c</w:t>
            </w:r>
            <w:r w:rsidRPr="005B42FA">
              <w:rPr>
                <w:rFonts w:ascii="Calibri" w:eastAsia="Calibri" w:hAnsi="Calibri" w:cs="Calibri"/>
                <w:spacing w:val="1"/>
              </w:rPr>
              <w:t>o</w:t>
            </w:r>
            <w:r w:rsidRPr="005B42FA">
              <w:rPr>
                <w:rFonts w:ascii="Calibri" w:eastAsia="Calibri" w:hAnsi="Calibri" w:cs="Calibri"/>
              </w:rPr>
              <w:t>mm</w:t>
            </w:r>
            <w:r w:rsidRPr="005B42FA">
              <w:rPr>
                <w:rFonts w:ascii="Calibri" w:eastAsia="Calibri" w:hAnsi="Calibri" w:cs="Calibri"/>
                <w:spacing w:val="-1"/>
              </w:rPr>
              <w:t>u</w:t>
            </w:r>
            <w:r w:rsidRPr="005B42FA">
              <w:rPr>
                <w:rFonts w:ascii="Calibri" w:eastAsia="Calibri" w:hAnsi="Calibri" w:cs="Calibri"/>
                <w:spacing w:val="1"/>
              </w:rPr>
              <w:t>n</w:t>
            </w:r>
            <w:r w:rsidRPr="005B42FA">
              <w:rPr>
                <w:rFonts w:ascii="Calibri" w:eastAsia="Calibri" w:hAnsi="Calibri" w:cs="Calibri"/>
              </w:rPr>
              <w:t>i</w:t>
            </w:r>
            <w:r w:rsidRPr="005B42FA">
              <w:rPr>
                <w:rFonts w:ascii="Calibri" w:eastAsia="Calibri" w:hAnsi="Calibri" w:cs="Calibri"/>
                <w:spacing w:val="1"/>
              </w:rPr>
              <w:t>t</w:t>
            </w:r>
            <w:r w:rsidRPr="005B42FA">
              <w:rPr>
                <w:rFonts w:ascii="Calibri" w:eastAsia="Calibri" w:hAnsi="Calibri" w:cs="Calibri"/>
                <w:spacing w:val="-1"/>
              </w:rPr>
              <w:t>y</w:t>
            </w:r>
            <w:r w:rsidRPr="005B42FA">
              <w:rPr>
                <w:rFonts w:ascii="Calibri" w:eastAsia="Calibri" w:hAnsi="Calibri" w:cs="Calibri"/>
              </w:rPr>
              <w:t>’s</w:t>
            </w:r>
            <w:r w:rsidRPr="005B42FA">
              <w:rPr>
                <w:rFonts w:ascii="Calibri" w:eastAsia="Calibri" w:hAnsi="Calibri" w:cs="Calibri"/>
                <w:spacing w:val="-5"/>
              </w:rPr>
              <w:t xml:space="preserve"> </w:t>
            </w:r>
            <w:r w:rsidRPr="005B42FA">
              <w:rPr>
                <w:rFonts w:ascii="Calibri" w:eastAsia="Calibri" w:hAnsi="Calibri" w:cs="Calibri"/>
                <w:spacing w:val="1"/>
              </w:rPr>
              <w:t>p</w:t>
            </w:r>
            <w:r w:rsidRPr="005B42FA">
              <w:rPr>
                <w:rFonts w:ascii="Calibri" w:eastAsia="Calibri" w:hAnsi="Calibri" w:cs="Calibri"/>
              </w:rPr>
              <w:t>ri</w:t>
            </w:r>
            <w:r w:rsidRPr="005B42FA">
              <w:rPr>
                <w:rFonts w:ascii="Calibri" w:eastAsia="Calibri" w:hAnsi="Calibri" w:cs="Calibri"/>
                <w:spacing w:val="1"/>
              </w:rPr>
              <w:t>o</w:t>
            </w:r>
            <w:r w:rsidRPr="005B42FA">
              <w:rPr>
                <w:rFonts w:ascii="Calibri" w:eastAsia="Calibri" w:hAnsi="Calibri" w:cs="Calibri"/>
              </w:rPr>
              <w:t>r</w:t>
            </w:r>
            <w:r w:rsidRPr="005B42FA">
              <w:rPr>
                <w:rFonts w:ascii="Calibri" w:eastAsia="Calibri" w:hAnsi="Calibri" w:cs="Calibri"/>
                <w:spacing w:val="-2"/>
              </w:rPr>
              <w:t>i</w:t>
            </w:r>
            <w:r w:rsidRPr="005B42FA">
              <w:rPr>
                <w:rFonts w:ascii="Calibri" w:eastAsia="Calibri" w:hAnsi="Calibri" w:cs="Calibri"/>
                <w:spacing w:val="1"/>
              </w:rPr>
              <w:t>t</w:t>
            </w:r>
            <w:r w:rsidRPr="005B42FA">
              <w:rPr>
                <w:rFonts w:ascii="Calibri" w:eastAsia="Calibri" w:hAnsi="Calibri" w:cs="Calibri"/>
              </w:rPr>
              <w:t>ies</w:t>
            </w:r>
          </w:p>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rPr>
            </w:pPr>
            <w:r w:rsidRPr="005B42FA">
              <w:rPr>
                <w:rFonts w:ascii="Calibri" w:eastAsia="Calibri" w:hAnsi="Calibri" w:cs="Calibri"/>
              </w:rPr>
              <w:t>Alig</w:t>
            </w:r>
            <w:r w:rsidRPr="005B42FA">
              <w:rPr>
                <w:rFonts w:ascii="Calibri" w:eastAsia="Calibri" w:hAnsi="Calibri" w:cs="Calibri"/>
                <w:spacing w:val="1"/>
              </w:rPr>
              <w:t>n</w:t>
            </w:r>
            <w:r w:rsidRPr="005B42FA">
              <w:rPr>
                <w:rFonts w:ascii="Calibri" w:eastAsia="Calibri" w:hAnsi="Calibri" w:cs="Calibri"/>
              </w:rPr>
              <w:t>m</w:t>
            </w:r>
            <w:r w:rsidRPr="005B42FA">
              <w:rPr>
                <w:rFonts w:ascii="Calibri" w:eastAsia="Calibri" w:hAnsi="Calibri" w:cs="Calibri"/>
                <w:spacing w:val="1"/>
              </w:rPr>
              <w:t>e</w:t>
            </w:r>
            <w:r w:rsidRPr="005B42FA">
              <w:rPr>
                <w:rFonts w:ascii="Calibri" w:eastAsia="Calibri" w:hAnsi="Calibri" w:cs="Calibri"/>
                <w:spacing w:val="-1"/>
              </w:rPr>
              <w:t>n</w:t>
            </w:r>
            <w:r w:rsidRPr="005B42FA">
              <w:rPr>
                <w:rFonts w:ascii="Calibri" w:eastAsia="Calibri" w:hAnsi="Calibri" w:cs="Calibri"/>
              </w:rPr>
              <w:t>t</w:t>
            </w:r>
            <w:r w:rsidRPr="005B42FA">
              <w:rPr>
                <w:rFonts w:ascii="Calibri" w:eastAsia="Calibri" w:hAnsi="Calibri" w:cs="Calibri"/>
                <w:spacing w:val="-2"/>
              </w:rPr>
              <w:t xml:space="preserve"> </w:t>
            </w:r>
            <w:r w:rsidRPr="005B42FA">
              <w:rPr>
                <w:rFonts w:ascii="Calibri" w:eastAsia="Calibri" w:hAnsi="Calibri" w:cs="Calibri"/>
                <w:spacing w:val="-1"/>
              </w:rPr>
              <w:t>w</w:t>
            </w:r>
            <w:r w:rsidRPr="005B42FA">
              <w:rPr>
                <w:rFonts w:ascii="Calibri" w:eastAsia="Calibri" w:hAnsi="Calibri" w:cs="Calibri"/>
              </w:rPr>
              <w:t>i</w:t>
            </w:r>
            <w:r w:rsidRPr="005B42FA">
              <w:rPr>
                <w:rFonts w:ascii="Calibri" w:eastAsia="Calibri" w:hAnsi="Calibri" w:cs="Calibri"/>
                <w:spacing w:val="-1"/>
              </w:rPr>
              <w:t>t</w:t>
            </w:r>
            <w:r w:rsidRPr="005B42FA">
              <w:rPr>
                <w:rFonts w:ascii="Calibri" w:eastAsia="Calibri" w:hAnsi="Calibri" w:cs="Calibri"/>
              </w:rPr>
              <w:t>h</w:t>
            </w:r>
            <w:r w:rsidRPr="005B42FA">
              <w:rPr>
                <w:rFonts w:ascii="Calibri" w:eastAsia="Calibri" w:hAnsi="Calibri" w:cs="Calibri"/>
                <w:spacing w:val="-1"/>
              </w:rPr>
              <w:t xml:space="preserve"> </w:t>
            </w:r>
            <w:r w:rsidRPr="005B42FA">
              <w:rPr>
                <w:rFonts w:ascii="Calibri" w:eastAsia="Calibri" w:hAnsi="Calibri" w:cs="Calibri"/>
                <w:spacing w:val="-2"/>
              </w:rPr>
              <w:t>o</w:t>
            </w:r>
            <w:r w:rsidRPr="005B42FA">
              <w:rPr>
                <w:rFonts w:ascii="Calibri" w:eastAsia="Calibri" w:hAnsi="Calibri" w:cs="Calibri"/>
                <w:spacing w:val="1"/>
              </w:rPr>
              <w:t>t</w:t>
            </w:r>
            <w:r w:rsidRPr="005B42FA">
              <w:rPr>
                <w:rFonts w:ascii="Calibri" w:eastAsia="Calibri" w:hAnsi="Calibri" w:cs="Calibri"/>
                <w:spacing w:val="-1"/>
              </w:rPr>
              <w:t>h</w:t>
            </w:r>
            <w:r w:rsidRPr="005B42FA">
              <w:rPr>
                <w:rFonts w:ascii="Calibri" w:eastAsia="Calibri" w:hAnsi="Calibri" w:cs="Calibri"/>
                <w:spacing w:val="1"/>
              </w:rPr>
              <w:t>e</w:t>
            </w:r>
            <w:r w:rsidRPr="005B42FA">
              <w:rPr>
                <w:rFonts w:ascii="Calibri" w:eastAsia="Calibri" w:hAnsi="Calibri" w:cs="Calibri"/>
              </w:rPr>
              <w:t>r</w:t>
            </w:r>
            <w:r w:rsidRPr="005B42FA">
              <w:rPr>
                <w:rFonts w:ascii="Calibri" w:eastAsia="Calibri" w:hAnsi="Calibri" w:cs="Calibri"/>
                <w:spacing w:val="-3"/>
              </w:rPr>
              <w:t xml:space="preserve"> </w:t>
            </w:r>
            <w:r w:rsidRPr="005B42FA">
              <w:rPr>
                <w:rFonts w:ascii="Calibri" w:eastAsia="Calibri" w:hAnsi="Calibri" w:cs="Calibri"/>
                <w:spacing w:val="1"/>
              </w:rPr>
              <w:t>f</w:t>
            </w:r>
            <w:r w:rsidRPr="005B42FA">
              <w:rPr>
                <w:rFonts w:ascii="Calibri" w:eastAsia="Calibri" w:hAnsi="Calibri" w:cs="Calibri"/>
                <w:spacing w:val="-1"/>
              </w:rPr>
              <w:t>u</w:t>
            </w:r>
            <w:r w:rsidRPr="005B42FA">
              <w:rPr>
                <w:rFonts w:ascii="Calibri" w:eastAsia="Calibri" w:hAnsi="Calibri" w:cs="Calibri"/>
                <w:spacing w:val="1"/>
              </w:rPr>
              <w:t>nd</w:t>
            </w:r>
            <w:r w:rsidRPr="005B42FA">
              <w:rPr>
                <w:rFonts w:ascii="Calibri" w:eastAsia="Calibri" w:hAnsi="Calibri" w:cs="Calibri"/>
              </w:rPr>
              <w:t>ers</w:t>
            </w:r>
            <w:r w:rsidRPr="005B42FA">
              <w:rPr>
                <w:rFonts w:ascii="Calibri" w:eastAsia="Calibri" w:hAnsi="Calibri" w:cs="Calibri"/>
                <w:spacing w:val="-3"/>
              </w:rPr>
              <w:t xml:space="preserve"> </w:t>
            </w:r>
            <w:r w:rsidRPr="005B42FA">
              <w:rPr>
                <w:rFonts w:ascii="Calibri" w:eastAsia="Calibri" w:hAnsi="Calibri" w:cs="Calibri"/>
              </w:rPr>
              <w:t>ar</w:t>
            </w:r>
            <w:r w:rsidRPr="005B42FA">
              <w:rPr>
                <w:rFonts w:ascii="Calibri" w:eastAsia="Calibri" w:hAnsi="Calibri" w:cs="Calibri"/>
                <w:spacing w:val="-2"/>
              </w:rPr>
              <w:t>o</w:t>
            </w:r>
            <w:r w:rsidRPr="005B42FA">
              <w:rPr>
                <w:rFonts w:ascii="Calibri" w:eastAsia="Calibri" w:hAnsi="Calibri" w:cs="Calibri"/>
                <w:spacing w:val="1"/>
              </w:rPr>
              <w:t>un</w:t>
            </w:r>
            <w:r w:rsidRPr="005B42FA">
              <w:rPr>
                <w:rFonts w:ascii="Calibri" w:eastAsia="Calibri" w:hAnsi="Calibri" w:cs="Calibri"/>
              </w:rPr>
              <w:t>d</w:t>
            </w:r>
            <w:r w:rsidRPr="005B42FA">
              <w:rPr>
                <w:rFonts w:ascii="Calibri" w:eastAsia="Calibri" w:hAnsi="Calibri" w:cs="Calibri"/>
                <w:spacing w:val="-1"/>
              </w:rPr>
              <w:t xml:space="preserve"> c</w:t>
            </w:r>
            <w:r w:rsidRPr="005B42FA">
              <w:rPr>
                <w:rFonts w:ascii="Calibri" w:eastAsia="Calibri" w:hAnsi="Calibri" w:cs="Calibri"/>
                <w:spacing w:val="1"/>
              </w:rPr>
              <w:t>o</w:t>
            </w:r>
            <w:r w:rsidRPr="005B42FA">
              <w:rPr>
                <w:rFonts w:ascii="Calibri" w:eastAsia="Calibri" w:hAnsi="Calibri" w:cs="Calibri"/>
              </w:rPr>
              <w:t>mm</w:t>
            </w:r>
            <w:r w:rsidRPr="005B42FA">
              <w:rPr>
                <w:rFonts w:ascii="Calibri" w:eastAsia="Calibri" w:hAnsi="Calibri" w:cs="Calibri"/>
                <w:spacing w:val="-2"/>
              </w:rPr>
              <w:t>o</w:t>
            </w:r>
            <w:r w:rsidRPr="005B42FA">
              <w:rPr>
                <w:rFonts w:ascii="Calibri" w:eastAsia="Calibri" w:hAnsi="Calibri" w:cs="Calibri"/>
              </w:rPr>
              <w:t>n</w:t>
            </w:r>
            <w:r w:rsidRPr="005B42FA">
              <w:rPr>
                <w:rFonts w:ascii="Calibri" w:eastAsia="Calibri" w:hAnsi="Calibri" w:cs="Calibri"/>
                <w:spacing w:val="-5"/>
              </w:rPr>
              <w:t xml:space="preserve"> </w:t>
            </w:r>
            <w:r w:rsidRPr="005B42FA">
              <w:rPr>
                <w:rFonts w:ascii="Calibri" w:eastAsia="Calibri" w:hAnsi="Calibri" w:cs="Calibri"/>
              </w:rPr>
              <w:t>m</w:t>
            </w:r>
            <w:r w:rsidRPr="005B42FA">
              <w:rPr>
                <w:rFonts w:ascii="Calibri" w:eastAsia="Calibri" w:hAnsi="Calibri" w:cs="Calibri"/>
                <w:spacing w:val="1"/>
              </w:rPr>
              <w:t>e</w:t>
            </w:r>
            <w:r w:rsidRPr="005B42FA">
              <w:rPr>
                <w:rFonts w:ascii="Calibri" w:eastAsia="Calibri" w:hAnsi="Calibri" w:cs="Calibri"/>
              </w:rPr>
              <w:t>as</w:t>
            </w:r>
            <w:r w:rsidRPr="005B42FA">
              <w:rPr>
                <w:rFonts w:ascii="Calibri" w:eastAsia="Calibri" w:hAnsi="Calibri" w:cs="Calibri"/>
                <w:spacing w:val="1"/>
              </w:rPr>
              <w:t>u</w:t>
            </w:r>
            <w:r w:rsidRPr="005B42FA">
              <w:rPr>
                <w:rFonts w:ascii="Calibri" w:eastAsia="Calibri" w:hAnsi="Calibri" w:cs="Calibri"/>
              </w:rPr>
              <w:t>r</w:t>
            </w:r>
            <w:r w:rsidRPr="005B42FA">
              <w:rPr>
                <w:rFonts w:ascii="Calibri" w:eastAsia="Calibri" w:hAnsi="Calibri" w:cs="Calibri"/>
                <w:spacing w:val="1"/>
              </w:rPr>
              <w:t>e</w:t>
            </w:r>
            <w:r w:rsidRPr="005B42FA">
              <w:rPr>
                <w:rFonts w:ascii="Calibri" w:eastAsia="Calibri" w:hAnsi="Calibri" w:cs="Calibri"/>
              </w:rPr>
              <w:t>s</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Gr</w:t>
            </w:r>
            <w:r w:rsidRPr="005B42FA">
              <w:rPr>
                <w:rFonts w:ascii="Calibri" w:eastAsia="Calibri" w:hAnsi="Calibri" w:cs="Calibri"/>
                <w:spacing w:val="1"/>
              </w:rPr>
              <w:t>e</w:t>
            </w:r>
            <w:r w:rsidRPr="005B42FA">
              <w:rPr>
                <w:rFonts w:ascii="Calibri" w:eastAsia="Calibri" w:hAnsi="Calibri" w:cs="Calibri"/>
              </w:rPr>
              <w:t>a</w:t>
            </w:r>
            <w:r w:rsidRPr="005B42FA">
              <w:rPr>
                <w:rFonts w:ascii="Calibri" w:eastAsia="Calibri" w:hAnsi="Calibri" w:cs="Calibri"/>
                <w:spacing w:val="1"/>
              </w:rPr>
              <w:t>te</w:t>
            </w:r>
            <w:r w:rsidRPr="005B42FA">
              <w:rPr>
                <w:rFonts w:ascii="Calibri" w:eastAsia="Calibri" w:hAnsi="Calibri" w:cs="Calibri"/>
              </w:rPr>
              <w:t>r</w:t>
            </w:r>
            <w:r w:rsidRPr="005B42FA">
              <w:rPr>
                <w:rFonts w:ascii="Calibri" w:eastAsia="Calibri" w:hAnsi="Calibri" w:cs="Calibri"/>
                <w:spacing w:val="-7"/>
              </w:rPr>
              <w:t xml:space="preserve"> </w:t>
            </w:r>
            <w:r w:rsidRPr="005B42FA">
              <w:rPr>
                <w:rFonts w:ascii="Calibri" w:eastAsia="Calibri" w:hAnsi="Calibri" w:cs="Calibri"/>
                <w:spacing w:val="-1"/>
              </w:rPr>
              <w:t>u</w:t>
            </w:r>
            <w:r w:rsidRPr="005B42FA">
              <w:rPr>
                <w:rFonts w:ascii="Calibri" w:eastAsia="Calibri" w:hAnsi="Calibri" w:cs="Calibri"/>
                <w:spacing w:val="1"/>
              </w:rPr>
              <w:t>nd</w:t>
            </w:r>
            <w:r w:rsidRPr="005B42FA">
              <w:rPr>
                <w:rFonts w:ascii="Calibri" w:eastAsia="Calibri" w:hAnsi="Calibri" w:cs="Calibri"/>
              </w:rPr>
              <w:t>er</w:t>
            </w:r>
            <w:r w:rsidRPr="005B42FA">
              <w:rPr>
                <w:rFonts w:ascii="Calibri" w:eastAsia="Calibri" w:hAnsi="Calibri" w:cs="Calibri"/>
                <w:spacing w:val="-3"/>
              </w:rPr>
              <w:t>s</w:t>
            </w:r>
            <w:r w:rsidRPr="005B42FA">
              <w:rPr>
                <w:rFonts w:ascii="Calibri" w:eastAsia="Calibri" w:hAnsi="Calibri" w:cs="Calibri"/>
                <w:spacing w:val="1"/>
              </w:rPr>
              <w:t>t</w:t>
            </w:r>
            <w:r w:rsidRPr="005B42FA">
              <w:rPr>
                <w:rFonts w:ascii="Calibri" w:eastAsia="Calibri" w:hAnsi="Calibri" w:cs="Calibri"/>
              </w:rPr>
              <w:t>a</w:t>
            </w:r>
            <w:r w:rsidRPr="005B42FA">
              <w:rPr>
                <w:rFonts w:ascii="Calibri" w:eastAsia="Calibri" w:hAnsi="Calibri" w:cs="Calibri"/>
                <w:spacing w:val="-1"/>
              </w:rPr>
              <w:t>n</w:t>
            </w:r>
            <w:r w:rsidRPr="005B42FA">
              <w:rPr>
                <w:rFonts w:ascii="Calibri" w:eastAsia="Calibri" w:hAnsi="Calibri" w:cs="Calibri"/>
                <w:spacing w:val="1"/>
              </w:rPr>
              <w:t>d</w:t>
            </w:r>
            <w:r w:rsidRPr="005B42FA">
              <w:rPr>
                <w:rFonts w:ascii="Calibri" w:eastAsia="Calibri" w:hAnsi="Calibri" w:cs="Calibri"/>
              </w:rPr>
              <w:t>i</w:t>
            </w:r>
            <w:r w:rsidRPr="005B42FA">
              <w:rPr>
                <w:rFonts w:ascii="Calibri" w:eastAsia="Calibri" w:hAnsi="Calibri" w:cs="Calibri"/>
                <w:spacing w:val="1"/>
              </w:rPr>
              <w:t>n</w:t>
            </w:r>
            <w:r w:rsidRPr="005B42FA">
              <w:rPr>
                <w:rFonts w:ascii="Calibri" w:eastAsia="Calibri" w:hAnsi="Calibri" w:cs="Calibri"/>
              </w:rPr>
              <w:t>g</w:t>
            </w:r>
            <w:r w:rsidRPr="005B42FA">
              <w:rPr>
                <w:rFonts w:ascii="Calibri" w:eastAsia="Calibri" w:hAnsi="Calibri" w:cs="Calibri"/>
                <w:spacing w:val="-5"/>
              </w:rPr>
              <w:t xml:space="preserve"> </w:t>
            </w:r>
            <w:r w:rsidRPr="005B42FA">
              <w:rPr>
                <w:rFonts w:ascii="Calibri" w:eastAsia="Calibri" w:hAnsi="Calibri" w:cs="Calibri"/>
                <w:spacing w:val="-2"/>
              </w:rPr>
              <w:t>o</w:t>
            </w:r>
            <w:r w:rsidRPr="005B42FA">
              <w:rPr>
                <w:rFonts w:ascii="Calibri" w:eastAsia="Calibri" w:hAnsi="Calibri" w:cs="Calibri"/>
              </w:rPr>
              <w:t>f</w:t>
            </w:r>
            <w:r w:rsidRPr="005B42FA">
              <w:rPr>
                <w:rFonts w:ascii="Calibri" w:eastAsia="Calibri" w:hAnsi="Calibri" w:cs="Calibri"/>
                <w:spacing w:val="2"/>
              </w:rPr>
              <w:t xml:space="preserve"> </w:t>
            </w:r>
            <w:r w:rsidRPr="005B42FA">
              <w:rPr>
                <w:rFonts w:ascii="Calibri" w:eastAsia="Calibri" w:hAnsi="Calibri" w:cs="Calibri"/>
              </w:rPr>
              <w:t>im</w:t>
            </w:r>
            <w:r w:rsidRPr="005B42FA">
              <w:rPr>
                <w:rFonts w:ascii="Calibri" w:eastAsia="Calibri" w:hAnsi="Calibri" w:cs="Calibri"/>
                <w:spacing w:val="-1"/>
              </w:rPr>
              <w:t>p</w:t>
            </w:r>
            <w:r w:rsidRPr="005B42FA">
              <w:rPr>
                <w:rFonts w:ascii="Calibri" w:eastAsia="Calibri" w:hAnsi="Calibri" w:cs="Calibri"/>
              </w:rPr>
              <w:t>a</w:t>
            </w:r>
            <w:r w:rsidRPr="005B42FA">
              <w:rPr>
                <w:rFonts w:ascii="Calibri" w:eastAsia="Calibri" w:hAnsi="Calibri" w:cs="Calibri"/>
                <w:spacing w:val="-1"/>
              </w:rPr>
              <w:t>c</w:t>
            </w:r>
            <w:r w:rsidRPr="005B42FA">
              <w:rPr>
                <w:rFonts w:ascii="Calibri" w:eastAsia="Calibri" w:hAnsi="Calibri" w:cs="Calibri"/>
              </w:rPr>
              <w:t>t</w:t>
            </w:r>
            <w:r w:rsidRPr="005B42FA">
              <w:rPr>
                <w:rFonts w:ascii="Calibri" w:eastAsia="Calibri" w:hAnsi="Calibri" w:cs="Calibri"/>
                <w:spacing w:val="-2"/>
              </w:rPr>
              <w:t xml:space="preserve"> o</w:t>
            </w:r>
            <w:r w:rsidRPr="005B42FA">
              <w:rPr>
                <w:rFonts w:ascii="Calibri" w:eastAsia="Calibri" w:hAnsi="Calibri" w:cs="Calibri"/>
              </w:rPr>
              <w:t xml:space="preserve">f </w:t>
            </w:r>
            <w:r w:rsidRPr="005B42FA">
              <w:rPr>
                <w:rFonts w:ascii="Calibri" w:eastAsia="Calibri" w:hAnsi="Calibri" w:cs="Calibri"/>
                <w:spacing w:val="1"/>
              </w:rPr>
              <w:t>f</w:t>
            </w:r>
            <w:r w:rsidRPr="005B42FA">
              <w:rPr>
                <w:rFonts w:ascii="Calibri" w:eastAsia="Calibri" w:hAnsi="Calibri" w:cs="Calibri"/>
                <w:spacing w:val="-1"/>
              </w:rPr>
              <w:t>u</w:t>
            </w:r>
            <w:r w:rsidRPr="005B42FA">
              <w:rPr>
                <w:rFonts w:ascii="Calibri" w:eastAsia="Calibri" w:hAnsi="Calibri" w:cs="Calibri"/>
                <w:spacing w:val="1"/>
              </w:rPr>
              <w:t>nd</w:t>
            </w:r>
            <w:r w:rsidRPr="005B42FA">
              <w:rPr>
                <w:rFonts w:ascii="Calibri" w:eastAsia="Calibri" w:hAnsi="Calibri" w:cs="Calibri"/>
                <w:spacing w:val="-2"/>
              </w:rPr>
              <w:t>e</w:t>
            </w:r>
            <w:r w:rsidRPr="005B42FA">
              <w:rPr>
                <w:rFonts w:ascii="Calibri" w:eastAsia="Calibri" w:hAnsi="Calibri" w:cs="Calibri"/>
              </w:rPr>
              <w:t xml:space="preserve">d </w:t>
            </w:r>
            <w:r w:rsidRPr="005B42FA">
              <w:rPr>
                <w:rFonts w:ascii="Calibri" w:eastAsia="Calibri" w:hAnsi="Calibri" w:cs="Calibri"/>
                <w:spacing w:val="1"/>
              </w:rPr>
              <w:t>p</w:t>
            </w:r>
            <w:r w:rsidRPr="005B42FA">
              <w:rPr>
                <w:rFonts w:ascii="Calibri" w:eastAsia="Calibri" w:hAnsi="Calibri" w:cs="Calibri"/>
              </w:rPr>
              <w:t>r</w:t>
            </w:r>
            <w:r w:rsidRPr="005B42FA">
              <w:rPr>
                <w:rFonts w:ascii="Calibri" w:eastAsia="Calibri" w:hAnsi="Calibri" w:cs="Calibri"/>
                <w:spacing w:val="1"/>
              </w:rPr>
              <w:t>o</w:t>
            </w:r>
            <w:r w:rsidRPr="005B42FA">
              <w:rPr>
                <w:rFonts w:ascii="Calibri" w:eastAsia="Calibri" w:hAnsi="Calibri" w:cs="Calibri"/>
              </w:rPr>
              <w:t>g</w:t>
            </w:r>
            <w:r w:rsidRPr="005B42FA">
              <w:rPr>
                <w:rFonts w:ascii="Calibri" w:eastAsia="Calibri" w:hAnsi="Calibri" w:cs="Calibri"/>
                <w:spacing w:val="-2"/>
              </w:rPr>
              <w:t>r</w:t>
            </w:r>
            <w:r w:rsidRPr="005B42FA">
              <w:rPr>
                <w:rFonts w:ascii="Calibri" w:eastAsia="Calibri" w:hAnsi="Calibri" w:cs="Calibri"/>
              </w:rPr>
              <w:t>ams</w:t>
            </w:r>
          </w:p>
          <w:p w:rsidR="004A74E1" w:rsidRPr="005B42FA" w:rsidRDefault="004A74E1" w:rsidP="005F5315">
            <w:pPr>
              <w:tabs>
                <w:tab w:val="left" w:pos="3150"/>
              </w:tabs>
            </w:pPr>
          </w:p>
        </w:tc>
        <w:tc>
          <w:tcPr>
            <w:tcW w:w="3150" w:type="dxa"/>
            <w:vAlign w:val="center"/>
          </w:tcPr>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rPr>
            </w:pPr>
            <w:r w:rsidRPr="005B42FA">
              <w:rPr>
                <w:rFonts w:ascii="Calibri" w:eastAsia="Calibri" w:hAnsi="Calibri" w:cs="Calibri"/>
                <w:spacing w:val="1"/>
              </w:rPr>
              <w:t>P</w:t>
            </w:r>
            <w:r w:rsidRPr="005B42FA">
              <w:rPr>
                <w:rFonts w:ascii="Calibri" w:eastAsia="Calibri" w:hAnsi="Calibri" w:cs="Calibri"/>
              </w:rPr>
              <w:t>er</w:t>
            </w:r>
            <w:r w:rsidRPr="005B42FA">
              <w:rPr>
                <w:rFonts w:ascii="Calibri" w:eastAsia="Calibri" w:hAnsi="Calibri" w:cs="Calibri"/>
                <w:spacing w:val="-1"/>
              </w:rPr>
              <w:t>c</w:t>
            </w:r>
            <w:r w:rsidRPr="005B42FA">
              <w:rPr>
                <w:rFonts w:ascii="Calibri" w:eastAsia="Calibri" w:hAnsi="Calibri" w:cs="Calibri"/>
              </w:rPr>
              <w:t>eived</w:t>
            </w:r>
            <w:r w:rsidRPr="005B42FA">
              <w:rPr>
                <w:rFonts w:ascii="Calibri" w:eastAsia="Calibri" w:hAnsi="Calibri" w:cs="Calibri"/>
                <w:spacing w:val="-8"/>
              </w:rPr>
              <w:t xml:space="preserve"> </w:t>
            </w:r>
            <w:r w:rsidRPr="005B42FA">
              <w:rPr>
                <w:rFonts w:ascii="Calibri" w:eastAsia="Calibri" w:hAnsi="Calibri" w:cs="Calibri"/>
              </w:rPr>
              <w:t>la</w:t>
            </w:r>
            <w:r w:rsidRPr="005B42FA">
              <w:rPr>
                <w:rFonts w:ascii="Calibri" w:eastAsia="Calibri" w:hAnsi="Calibri" w:cs="Calibri"/>
                <w:spacing w:val="-1"/>
              </w:rPr>
              <w:t>c</w:t>
            </w:r>
            <w:r w:rsidRPr="005B42FA">
              <w:rPr>
                <w:rFonts w:ascii="Calibri" w:eastAsia="Calibri" w:hAnsi="Calibri" w:cs="Calibri"/>
              </w:rPr>
              <w:t>k</w:t>
            </w:r>
            <w:r w:rsidRPr="005B42FA">
              <w:rPr>
                <w:rFonts w:ascii="Calibri" w:eastAsia="Calibri" w:hAnsi="Calibri" w:cs="Calibri"/>
                <w:spacing w:val="-3"/>
              </w:rPr>
              <w:t xml:space="preserve"> </w:t>
            </w:r>
            <w:r w:rsidRPr="005B42FA">
              <w:rPr>
                <w:rFonts w:ascii="Calibri" w:eastAsia="Calibri" w:hAnsi="Calibri" w:cs="Calibri"/>
                <w:spacing w:val="1"/>
              </w:rPr>
              <w:t>o</w:t>
            </w:r>
            <w:r w:rsidRPr="005B42FA">
              <w:rPr>
                <w:rFonts w:ascii="Calibri" w:eastAsia="Calibri" w:hAnsi="Calibri" w:cs="Calibri"/>
              </w:rPr>
              <w:t xml:space="preserve">f </w:t>
            </w:r>
            <w:r w:rsidRPr="005B42FA">
              <w:rPr>
                <w:rFonts w:ascii="Calibri" w:eastAsia="Calibri" w:hAnsi="Calibri" w:cs="Calibri"/>
                <w:spacing w:val="-1"/>
              </w:rPr>
              <w:t>c</w:t>
            </w:r>
            <w:r w:rsidRPr="005B42FA">
              <w:rPr>
                <w:rFonts w:ascii="Calibri" w:eastAsia="Calibri" w:hAnsi="Calibri" w:cs="Calibri"/>
                <w:spacing w:val="1"/>
              </w:rPr>
              <w:t>on</w:t>
            </w:r>
            <w:r w:rsidRPr="005B42FA">
              <w:rPr>
                <w:rFonts w:ascii="Calibri" w:eastAsia="Calibri" w:hAnsi="Calibri" w:cs="Calibri"/>
                <w:spacing w:val="-1"/>
              </w:rPr>
              <w:t>t</w:t>
            </w:r>
            <w:r w:rsidRPr="005B42FA">
              <w:rPr>
                <w:rFonts w:ascii="Calibri" w:eastAsia="Calibri" w:hAnsi="Calibri" w:cs="Calibri"/>
              </w:rPr>
              <w:t>r</w:t>
            </w:r>
            <w:r w:rsidRPr="005B42FA">
              <w:rPr>
                <w:rFonts w:ascii="Calibri" w:eastAsia="Calibri" w:hAnsi="Calibri" w:cs="Calibri"/>
                <w:spacing w:val="1"/>
              </w:rPr>
              <w:t>o</w:t>
            </w:r>
            <w:r w:rsidRPr="005B42FA">
              <w:rPr>
                <w:rFonts w:ascii="Calibri" w:eastAsia="Calibri" w:hAnsi="Calibri" w:cs="Calibri"/>
              </w:rPr>
              <w:t>l</w:t>
            </w:r>
            <w:r w:rsidRPr="005B42FA">
              <w:rPr>
                <w:rFonts w:ascii="Calibri" w:eastAsia="Calibri" w:hAnsi="Calibri" w:cs="Calibri"/>
                <w:spacing w:val="-5"/>
              </w:rPr>
              <w:t xml:space="preserve"> </w:t>
            </w:r>
            <w:r w:rsidRPr="005B42FA">
              <w:rPr>
                <w:rFonts w:ascii="Calibri" w:eastAsia="Calibri" w:hAnsi="Calibri" w:cs="Calibri"/>
                <w:spacing w:val="1"/>
              </w:rPr>
              <w:t>o</w:t>
            </w:r>
            <w:r w:rsidRPr="005B42FA">
              <w:rPr>
                <w:rFonts w:ascii="Calibri" w:eastAsia="Calibri" w:hAnsi="Calibri" w:cs="Calibri"/>
              </w:rPr>
              <w:t>v</w:t>
            </w:r>
            <w:r w:rsidRPr="005B42FA">
              <w:rPr>
                <w:rFonts w:ascii="Calibri" w:eastAsia="Calibri" w:hAnsi="Calibri" w:cs="Calibri"/>
                <w:spacing w:val="1"/>
              </w:rPr>
              <w:t>e</w:t>
            </w:r>
            <w:r w:rsidRPr="005B42FA">
              <w:rPr>
                <w:rFonts w:ascii="Calibri" w:eastAsia="Calibri" w:hAnsi="Calibri" w:cs="Calibri"/>
              </w:rPr>
              <w:t>r</w:t>
            </w:r>
            <w:r w:rsidRPr="005B42FA">
              <w:rPr>
                <w:rFonts w:ascii="Calibri" w:eastAsia="Calibri" w:hAnsi="Calibri" w:cs="Calibri"/>
                <w:spacing w:val="-2"/>
              </w:rPr>
              <w:t xml:space="preserve"> </w:t>
            </w:r>
            <w:r w:rsidRPr="005B42FA">
              <w:rPr>
                <w:rFonts w:ascii="Calibri" w:eastAsia="Calibri" w:hAnsi="Calibri" w:cs="Calibri"/>
                <w:spacing w:val="-1"/>
              </w:rPr>
              <w:t>f</w:t>
            </w:r>
            <w:r w:rsidRPr="005B42FA">
              <w:rPr>
                <w:rFonts w:ascii="Calibri" w:eastAsia="Calibri" w:hAnsi="Calibri" w:cs="Calibri"/>
                <w:spacing w:val="1"/>
              </w:rPr>
              <w:t>u</w:t>
            </w:r>
            <w:r w:rsidRPr="005B42FA">
              <w:rPr>
                <w:rFonts w:ascii="Calibri" w:eastAsia="Calibri" w:hAnsi="Calibri" w:cs="Calibri"/>
                <w:spacing w:val="-1"/>
              </w:rPr>
              <w:t>n</w:t>
            </w:r>
            <w:r w:rsidRPr="005B42FA">
              <w:rPr>
                <w:rFonts w:ascii="Calibri" w:eastAsia="Calibri" w:hAnsi="Calibri" w:cs="Calibri"/>
                <w:spacing w:val="1"/>
              </w:rPr>
              <w:t>d</w:t>
            </w:r>
            <w:r w:rsidRPr="005B42FA">
              <w:rPr>
                <w:rFonts w:ascii="Calibri" w:eastAsia="Calibri" w:hAnsi="Calibri" w:cs="Calibri"/>
              </w:rPr>
              <w:t>i</w:t>
            </w:r>
            <w:r w:rsidRPr="005B42FA">
              <w:rPr>
                <w:rFonts w:ascii="Calibri" w:eastAsia="Calibri" w:hAnsi="Calibri" w:cs="Calibri"/>
                <w:spacing w:val="1"/>
              </w:rPr>
              <w:t>n</w:t>
            </w:r>
            <w:r w:rsidRPr="005B42FA">
              <w:rPr>
                <w:rFonts w:ascii="Calibri" w:eastAsia="Calibri" w:hAnsi="Calibri" w:cs="Calibri"/>
              </w:rPr>
              <w:t>g</w:t>
            </w:r>
            <w:r w:rsidRPr="005B42FA">
              <w:rPr>
                <w:rFonts w:ascii="Calibri" w:eastAsia="Calibri" w:hAnsi="Calibri" w:cs="Calibri"/>
                <w:spacing w:val="-3"/>
              </w:rPr>
              <w:t xml:space="preserve"> </w:t>
            </w:r>
            <w:r w:rsidRPr="005B42FA">
              <w:rPr>
                <w:rFonts w:ascii="Calibri" w:eastAsia="Calibri" w:hAnsi="Calibri" w:cs="Calibri"/>
                <w:spacing w:val="1"/>
              </w:rPr>
              <w:t>p</w:t>
            </w:r>
            <w:r w:rsidRPr="005B42FA">
              <w:rPr>
                <w:rFonts w:ascii="Calibri" w:eastAsia="Calibri" w:hAnsi="Calibri" w:cs="Calibri"/>
              </w:rPr>
              <w:t>ri</w:t>
            </w:r>
            <w:r w:rsidRPr="005B42FA">
              <w:rPr>
                <w:rFonts w:ascii="Calibri" w:eastAsia="Calibri" w:hAnsi="Calibri" w:cs="Calibri"/>
                <w:spacing w:val="-2"/>
              </w:rPr>
              <w:t>o</w:t>
            </w:r>
            <w:r w:rsidRPr="005B42FA">
              <w:rPr>
                <w:rFonts w:ascii="Calibri" w:eastAsia="Calibri" w:hAnsi="Calibri" w:cs="Calibri"/>
              </w:rPr>
              <w:t>ri</w:t>
            </w:r>
            <w:r w:rsidRPr="005B42FA">
              <w:rPr>
                <w:rFonts w:ascii="Calibri" w:eastAsia="Calibri" w:hAnsi="Calibri" w:cs="Calibri"/>
                <w:spacing w:val="1"/>
              </w:rPr>
              <w:t>t</w:t>
            </w:r>
            <w:r w:rsidRPr="005B42FA">
              <w:rPr>
                <w:rFonts w:ascii="Calibri" w:eastAsia="Calibri" w:hAnsi="Calibri" w:cs="Calibri"/>
              </w:rPr>
              <w:t>ies</w:t>
            </w:r>
          </w:p>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rPr>
            </w:pPr>
            <w:r w:rsidRPr="005B42FA">
              <w:rPr>
                <w:rFonts w:ascii="Calibri" w:eastAsia="Calibri" w:hAnsi="Calibri" w:cs="Calibri"/>
              </w:rPr>
              <w:t>Fear</w:t>
            </w:r>
            <w:r w:rsidRPr="005B42FA">
              <w:rPr>
                <w:rFonts w:ascii="Calibri" w:eastAsia="Calibri" w:hAnsi="Calibri" w:cs="Calibri"/>
                <w:spacing w:val="-1"/>
              </w:rPr>
              <w:t xml:space="preserve"> t</w:t>
            </w:r>
            <w:r w:rsidRPr="005B42FA">
              <w:rPr>
                <w:rFonts w:ascii="Calibri" w:eastAsia="Calibri" w:hAnsi="Calibri" w:cs="Calibri"/>
                <w:spacing w:val="1"/>
              </w:rPr>
              <w:t>h</w:t>
            </w:r>
            <w:r w:rsidRPr="005B42FA">
              <w:rPr>
                <w:rFonts w:ascii="Calibri" w:eastAsia="Calibri" w:hAnsi="Calibri" w:cs="Calibri"/>
              </w:rPr>
              <w:t>at</w:t>
            </w:r>
            <w:r w:rsidRPr="005B42FA">
              <w:rPr>
                <w:rFonts w:ascii="Calibri" w:eastAsia="Calibri" w:hAnsi="Calibri" w:cs="Calibri"/>
                <w:spacing w:val="-3"/>
              </w:rPr>
              <w:t xml:space="preserve"> </w:t>
            </w:r>
            <w:r w:rsidRPr="005B42FA">
              <w:rPr>
                <w:rFonts w:ascii="Calibri" w:eastAsia="Calibri" w:hAnsi="Calibri" w:cs="Calibri"/>
                <w:spacing w:val="1"/>
              </w:rPr>
              <w:t>P</w:t>
            </w:r>
            <w:r w:rsidRPr="005B42FA">
              <w:rPr>
                <w:rFonts w:ascii="Calibri" w:eastAsia="Calibri" w:hAnsi="Calibri" w:cs="Calibri"/>
              </w:rPr>
              <w:t>a</w:t>
            </w:r>
            <w:r w:rsidRPr="005B42FA">
              <w:rPr>
                <w:rFonts w:ascii="Calibri" w:eastAsia="Calibri" w:hAnsi="Calibri" w:cs="Calibri"/>
                <w:spacing w:val="-2"/>
              </w:rPr>
              <w:t>r</w:t>
            </w:r>
            <w:r w:rsidRPr="005B42FA">
              <w:rPr>
                <w:rFonts w:ascii="Calibri" w:eastAsia="Calibri" w:hAnsi="Calibri" w:cs="Calibri"/>
                <w:spacing w:val="1"/>
              </w:rPr>
              <w:t>t</w:t>
            </w:r>
            <w:r w:rsidRPr="005B42FA">
              <w:rPr>
                <w:rFonts w:ascii="Calibri" w:eastAsia="Calibri" w:hAnsi="Calibri" w:cs="Calibri"/>
                <w:spacing w:val="-1"/>
              </w:rPr>
              <w:t>n</w:t>
            </w:r>
            <w:r w:rsidRPr="005B42FA">
              <w:rPr>
                <w:rFonts w:ascii="Calibri" w:eastAsia="Calibri" w:hAnsi="Calibri" w:cs="Calibri"/>
                <w:spacing w:val="1"/>
              </w:rPr>
              <w:t>e</w:t>
            </w:r>
            <w:r w:rsidRPr="005B42FA">
              <w:rPr>
                <w:rFonts w:ascii="Calibri" w:eastAsia="Calibri" w:hAnsi="Calibri" w:cs="Calibri"/>
              </w:rPr>
              <w:t>rs</w:t>
            </w:r>
            <w:r w:rsidRPr="005B42FA">
              <w:rPr>
                <w:rFonts w:ascii="Calibri" w:eastAsia="Calibri" w:hAnsi="Calibri" w:cs="Calibri"/>
                <w:spacing w:val="1"/>
              </w:rPr>
              <w:t>h</w:t>
            </w:r>
            <w:r w:rsidRPr="005B42FA">
              <w:rPr>
                <w:rFonts w:ascii="Calibri" w:eastAsia="Calibri" w:hAnsi="Calibri" w:cs="Calibri"/>
                <w:spacing w:val="-2"/>
              </w:rPr>
              <w:t>i</w:t>
            </w:r>
            <w:r w:rsidRPr="005B42FA">
              <w:rPr>
                <w:rFonts w:ascii="Calibri" w:eastAsia="Calibri" w:hAnsi="Calibri" w:cs="Calibri"/>
              </w:rPr>
              <w:t>p</w:t>
            </w:r>
            <w:r w:rsidRPr="005B42FA">
              <w:rPr>
                <w:rFonts w:ascii="Calibri" w:eastAsia="Calibri" w:hAnsi="Calibri" w:cs="Calibri"/>
                <w:spacing w:val="-5"/>
              </w:rPr>
              <w:t xml:space="preserve"> </w:t>
            </w:r>
            <w:r w:rsidRPr="005B42FA">
              <w:rPr>
                <w:rFonts w:ascii="Calibri" w:eastAsia="Calibri" w:hAnsi="Calibri" w:cs="Calibri"/>
                <w:spacing w:val="-1"/>
              </w:rPr>
              <w:t>p</w:t>
            </w:r>
            <w:r w:rsidRPr="005B42FA">
              <w:rPr>
                <w:rFonts w:ascii="Calibri" w:eastAsia="Calibri" w:hAnsi="Calibri" w:cs="Calibri"/>
              </w:rPr>
              <w:t>r</w:t>
            </w:r>
            <w:r w:rsidRPr="005B42FA">
              <w:rPr>
                <w:rFonts w:ascii="Calibri" w:eastAsia="Calibri" w:hAnsi="Calibri" w:cs="Calibri"/>
                <w:spacing w:val="-2"/>
              </w:rPr>
              <w:t>i</w:t>
            </w:r>
            <w:r w:rsidRPr="005B42FA">
              <w:rPr>
                <w:rFonts w:ascii="Calibri" w:eastAsia="Calibri" w:hAnsi="Calibri" w:cs="Calibri"/>
                <w:spacing w:val="1"/>
              </w:rPr>
              <w:t>o</w:t>
            </w:r>
            <w:r w:rsidRPr="005B42FA">
              <w:rPr>
                <w:rFonts w:ascii="Calibri" w:eastAsia="Calibri" w:hAnsi="Calibri" w:cs="Calibri"/>
              </w:rPr>
              <w:t>ri</w:t>
            </w:r>
            <w:r w:rsidRPr="005B42FA">
              <w:rPr>
                <w:rFonts w:ascii="Calibri" w:eastAsia="Calibri" w:hAnsi="Calibri" w:cs="Calibri"/>
                <w:spacing w:val="1"/>
              </w:rPr>
              <w:t>t</w:t>
            </w:r>
            <w:r w:rsidRPr="005B42FA">
              <w:rPr>
                <w:rFonts w:ascii="Calibri" w:eastAsia="Calibri" w:hAnsi="Calibri" w:cs="Calibri"/>
              </w:rPr>
              <w:t>ies</w:t>
            </w:r>
            <w:r w:rsidRPr="005B42FA">
              <w:rPr>
                <w:rFonts w:ascii="Calibri" w:eastAsia="Calibri" w:hAnsi="Calibri" w:cs="Calibri"/>
                <w:spacing w:val="-2"/>
              </w:rPr>
              <w:t xml:space="preserve"> </w:t>
            </w:r>
            <w:r w:rsidRPr="005B42FA">
              <w:rPr>
                <w:rFonts w:ascii="Calibri" w:eastAsia="Calibri" w:hAnsi="Calibri" w:cs="Calibri"/>
              </w:rPr>
              <w:t>may</w:t>
            </w:r>
            <w:r w:rsidRPr="005B42FA">
              <w:rPr>
                <w:rFonts w:ascii="Calibri" w:eastAsia="Calibri" w:hAnsi="Calibri" w:cs="Calibri"/>
                <w:spacing w:val="-4"/>
              </w:rPr>
              <w:t xml:space="preserve"> </w:t>
            </w:r>
            <w:r w:rsidRPr="005B42FA">
              <w:rPr>
                <w:rFonts w:ascii="Calibri" w:eastAsia="Calibri" w:hAnsi="Calibri" w:cs="Calibri"/>
                <w:spacing w:val="-1"/>
              </w:rPr>
              <w:t>n</w:t>
            </w:r>
            <w:r w:rsidRPr="005B42FA">
              <w:rPr>
                <w:rFonts w:ascii="Calibri" w:eastAsia="Calibri" w:hAnsi="Calibri" w:cs="Calibri"/>
                <w:spacing w:val="1"/>
              </w:rPr>
              <w:t>o</w:t>
            </w:r>
            <w:r w:rsidRPr="005B42FA">
              <w:rPr>
                <w:rFonts w:ascii="Calibri" w:eastAsia="Calibri" w:hAnsi="Calibri" w:cs="Calibri"/>
              </w:rPr>
              <w:t>t</w:t>
            </w:r>
            <w:r w:rsidRPr="005B42FA">
              <w:rPr>
                <w:rFonts w:ascii="Calibri" w:eastAsia="Calibri" w:hAnsi="Calibri" w:cs="Calibri"/>
                <w:spacing w:val="-1"/>
              </w:rPr>
              <w:t xml:space="preserve"> </w:t>
            </w:r>
            <w:r w:rsidRPr="005B42FA">
              <w:rPr>
                <w:rFonts w:ascii="Calibri" w:eastAsia="Calibri" w:hAnsi="Calibri" w:cs="Calibri"/>
              </w:rPr>
              <w:t>align</w:t>
            </w:r>
            <w:r w:rsidRPr="005B42FA">
              <w:rPr>
                <w:rFonts w:ascii="Calibri" w:eastAsia="Calibri" w:hAnsi="Calibri" w:cs="Calibri"/>
                <w:spacing w:val="2"/>
              </w:rPr>
              <w:t xml:space="preserve"> </w:t>
            </w:r>
            <w:r w:rsidRPr="005B42FA">
              <w:rPr>
                <w:rFonts w:ascii="Calibri" w:eastAsia="Calibri" w:hAnsi="Calibri" w:cs="Calibri"/>
                <w:spacing w:val="-1"/>
              </w:rPr>
              <w:t>w</w:t>
            </w:r>
            <w:r w:rsidRPr="005B42FA">
              <w:rPr>
                <w:rFonts w:ascii="Calibri" w:eastAsia="Calibri" w:hAnsi="Calibri" w:cs="Calibri"/>
              </w:rPr>
              <w:t>i</w:t>
            </w:r>
            <w:r w:rsidRPr="005B42FA">
              <w:rPr>
                <w:rFonts w:ascii="Calibri" w:eastAsia="Calibri" w:hAnsi="Calibri" w:cs="Calibri"/>
                <w:spacing w:val="-1"/>
              </w:rPr>
              <w:t>t</w:t>
            </w:r>
            <w:r w:rsidRPr="005B42FA">
              <w:rPr>
                <w:rFonts w:ascii="Calibri" w:eastAsia="Calibri" w:hAnsi="Calibri" w:cs="Calibri"/>
              </w:rPr>
              <w:t xml:space="preserve">h </w:t>
            </w:r>
            <w:r w:rsidRPr="005B42FA">
              <w:rPr>
                <w:rFonts w:ascii="Calibri" w:eastAsia="Calibri" w:hAnsi="Calibri" w:cs="Calibri"/>
                <w:spacing w:val="-1"/>
              </w:rPr>
              <w:t xml:space="preserve">own </w:t>
            </w:r>
            <w:r w:rsidRPr="005B42FA">
              <w:rPr>
                <w:rFonts w:ascii="Calibri" w:eastAsia="Calibri" w:hAnsi="Calibri" w:cs="Calibri"/>
              </w:rPr>
              <w:t>missi</w:t>
            </w:r>
            <w:r w:rsidRPr="005B42FA">
              <w:rPr>
                <w:rFonts w:ascii="Calibri" w:eastAsia="Calibri" w:hAnsi="Calibri" w:cs="Calibri"/>
                <w:spacing w:val="1"/>
              </w:rPr>
              <w:t>o</w:t>
            </w:r>
            <w:r w:rsidRPr="005B42FA">
              <w:rPr>
                <w:rFonts w:ascii="Calibri" w:eastAsia="Calibri" w:hAnsi="Calibri" w:cs="Calibri"/>
              </w:rPr>
              <w:t>n/</w:t>
            </w:r>
            <w:r w:rsidRPr="005B42FA">
              <w:rPr>
                <w:rFonts w:ascii="Calibri" w:eastAsia="Calibri" w:hAnsi="Calibri" w:cs="Calibri"/>
                <w:spacing w:val="-3"/>
              </w:rPr>
              <w:t>s</w:t>
            </w:r>
            <w:r w:rsidRPr="005B42FA">
              <w:rPr>
                <w:rFonts w:ascii="Calibri" w:eastAsia="Calibri" w:hAnsi="Calibri" w:cs="Calibri"/>
                <w:spacing w:val="1"/>
              </w:rPr>
              <w:t>t</w:t>
            </w:r>
            <w:r w:rsidRPr="005B42FA">
              <w:rPr>
                <w:rFonts w:ascii="Calibri" w:eastAsia="Calibri" w:hAnsi="Calibri" w:cs="Calibri"/>
                <w:spacing w:val="-2"/>
              </w:rPr>
              <w:t>r</w:t>
            </w:r>
            <w:r w:rsidRPr="005B42FA">
              <w:rPr>
                <w:rFonts w:ascii="Calibri" w:eastAsia="Calibri" w:hAnsi="Calibri" w:cs="Calibri"/>
              </w:rPr>
              <w:t>a</w:t>
            </w:r>
            <w:r w:rsidRPr="005B42FA">
              <w:rPr>
                <w:rFonts w:ascii="Calibri" w:eastAsia="Calibri" w:hAnsi="Calibri" w:cs="Calibri"/>
                <w:spacing w:val="1"/>
              </w:rPr>
              <w:t>te</w:t>
            </w:r>
            <w:r w:rsidRPr="005B42FA">
              <w:rPr>
                <w:rFonts w:ascii="Calibri" w:eastAsia="Calibri" w:hAnsi="Calibri" w:cs="Calibri"/>
              </w:rPr>
              <w:t>gic</w:t>
            </w:r>
            <w:r w:rsidRPr="005B42FA">
              <w:rPr>
                <w:rFonts w:ascii="Calibri" w:eastAsia="Calibri" w:hAnsi="Calibri" w:cs="Calibri"/>
                <w:spacing w:val="-6"/>
              </w:rPr>
              <w:t xml:space="preserve"> </w:t>
            </w:r>
            <w:r w:rsidRPr="005B42FA">
              <w:rPr>
                <w:rFonts w:ascii="Calibri" w:eastAsia="Calibri" w:hAnsi="Calibri" w:cs="Calibri"/>
                <w:spacing w:val="1"/>
              </w:rPr>
              <w:t>p</w:t>
            </w:r>
            <w:r w:rsidRPr="005B42FA">
              <w:rPr>
                <w:rFonts w:ascii="Calibri" w:eastAsia="Calibri" w:hAnsi="Calibri" w:cs="Calibri"/>
                <w:spacing w:val="-2"/>
              </w:rPr>
              <w:t>l</w:t>
            </w:r>
            <w:r w:rsidRPr="005B42FA">
              <w:rPr>
                <w:rFonts w:ascii="Calibri" w:eastAsia="Calibri" w:hAnsi="Calibri" w:cs="Calibri"/>
              </w:rPr>
              <w:t>an</w:t>
            </w:r>
          </w:p>
          <w:p w:rsidR="004A74E1" w:rsidRPr="005B42FA" w:rsidRDefault="004A74E1" w:rsidP="005F5315">
            <w:pPr>
              <w:spacing w:line="239" w:lineRule="auto"/>
              <w:ind w:right="17"/>
              <w:rPr>
                <w:rFonts w:ascii="Calibri" w:eastAsia="Calibri" w:hAnsi="Calibri" w:cs="Calibri"/>
              </w:rPr>
            </w:pPr>
          </w:p>
        </w:tc>
        <w:tc>
          <w:tcPr>
            <w:tcW w:w="6300" w:type="dxa"/>
            <w:vAlign w:val="center"/>
          </w:tcPr>
          <w:p w:rsidR="004A74E1" w:rsidRPr="005B42FA" w:rsidRDefault="004A74E1" w:rsidP="005F5315">
            <w:pPr>
              <w:ind w:right="-32"/>
            </w:pPr>
            <w:r w:rsidRPr="005B42FA">
              <w:rPr>
                <w:rFonts w:ascii="Calibri" w:eastAsia="Calibri" w:hAnsi="Calibri" w:cs="Calibri"/>
                <w:spacing w:val="1"/>
              </w:rPr>
              <w:t>Philanthropic entities are often early leaders in this work due to their interest in maximizing the impact of their investments within a community. However, funders may have the perception that joining a Partnership table may limit their ability to control their own funding priorities. Help funders understand that the Partnership will not control their resources, but rather will help facilitate the development of a shared vision and agreement on a set of community level outcomes that all partners can support in their own, individual way. Philanthropic partners would still control their funding streams but would be encouraged to align their investments with one or all of the Partnership’s priority outcomes.</w:t>
            </w:r>
          </w:p>
        </w:tc>
      </w:tr>
      <w:tr w:rsidR="004A74E1" w:rsidRPr="004A74E1" w:rsidTr="005F5315">
        <w:trPr>
          <w:trHeight w:val="2533"/>
        </w:trPr>
        <w:tc>
          <w:tcPr>
            <w:tcW w:w="1399" w:type="dxa"/>
            <w:shd w:val="clear" w:color="auto" w:fill="98B0BE"/>
            <w:vAlign w:val="center"/>
          </w:tcPr>
          <w:p w:rsidR="004A74E1" w:rsidRPr="004A74E1" w:rsidRDefault="004A74E1" w:rsidP="002B2AC9">
            <w:pPr>
              <w:tabs>
                <w:tab w:val="left" w:pos="3150"/>
              </w:tabs>
              <w:jc w:val="center"/>
              <w:rPr>
                <w:b/>
              </w:rPr>
            </w:pPr>
            <w:r>
              <w:rPr>
                <w:b/>
              </w:rPr>
              <w:t>Education</w:t>
            </w:r>
          </w:p>
        </w:tc>
        <w:tc>
          <w:tcPr>
            <w:tcW w:w="3641" w:type="dxa"/>
            <w:vAlign w:val="center"/>
          </w:tcPr>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Increased support from community partners to improve student success</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Increased accountability for program providers who support schools</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Ability to influence professional development offerings to improve teacher/principal excellence</w:t>
            </w:r>
          </w:p>
        </w:tc>
        <w:tc>
          <w:tcPr>
            <w:tcW w:w="3150" w:type="dxa"/>
            <w:vAlign w:val="center"/>
          </w:tcPr>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Partnership priorities can call greater attention to low-performing education programs/institutions</w:t>
            </w:r>
          </w:p>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Mistrust in working with peer districts/institutions within a local community</w:t>
            </w:r>
          </w:p>
        </w:tc>
        <w:tc>
          <w:tcPr>
            <w:tcW w:w="6300" w:type="dxa"/>
            <w:vAlign w:val="center"/>
          </w:tcPr>
          <w:p w:rsidR="004A74E1" w:rsidRPr="005B42FA" w:rsidRDefault="004A74E1" w:rsidP="005F5315">
            <w:pPr>
              <w:ind w:right="-32"/>
              <w:rPr>
                <w:rFonts w:ascii="Calibri" w:eastAsia="Calibri" w:hAnsi="Calibri" w:cs="Calibri"/>
                <w:spacing w:val="1"/>
              </w:rPr>
            </w:pPr>
            <w:r w:rsidRPr="005B42FA">
              <w:rPr>
                <w:rFonts w:ascii="Calibri" w:eastAsia="Calibri" w:hAnsi="Calibri" w:cs="Calibri"/>
                <w:spacing w:val="1"/>
              </w:rPr>
              <w:t>Educational institutions must understand that the Partnership will embrace a Cradle to Career vision that holds the entire community accountable for student success rather than the traditional “schoolhouse” view of education. Providing district leaders with non-monetary re</w:t>
            </w:r>
            <w:r w:rsidR="005B42FA" w:rsidRPr="005B42FA">
              <w:rPr>
                <w:rFonts w:ascii="Calibri" w:eastAsia="Calibri" w:hAnsi="Calibri" w:cs="Calibri"/>
                <w:spacing w:val="1"/>
              </w:rPr>
              <w:t>sources/supports and linking in-school and out-of-</w:t>
            </w:r>
            <w:r w:rsidRPr="005B42FA">
              <w:rPr>
                <w:rFonts w:ascii="Calibri" w:eastAsia="Calibri" w:hAnsi="Calibri" w:cs="Calibri"/>
                <w:spacing w:val="1"/>
              </w:rPr>
              <w:t>school supports will help to enhance the success of the broader partnership while assisting educational institutions in achieving their core mission.</w:t>
            </w:r>
          </w:p>
        </w:tc>
      </w:tr>
      <w:tr w:rsidR="004A74E1" w:rsidRPr="004A74E1" w:rsidTr="005F5315">
        <w:trPr>
          <w:trHeight w:val="2533"/>
        </w:trPr>
        <w:tc>
          <w:tcPr>
            <w:tcW w:w="1399" w:type="dxa"/>
            <w:shd w:val="clear" w:color="auto" w:fill="98B0BE"/>
            <w:vAlign w:val="center"/>
          </w:tcPr>
          <w:p w:rsidR="004A74E1" w:rsidRDefault="004A74E1" w:rsidP="002B2AC9">
            <w:pPr>
              <w:tabs>
                <w:tab w:val="left" w:pos="3150"/>
              </w:tabs>
              <w:jc w:val="center"/>
              <w:rPr>
                <w:b/>
              </w:rPr>
            </w:pPr>
            <w:r>
              <w:rPr>
                <w:b/>
              </w:rPr>
              <w:t>Nonprofit</w:t>
            </w:r>
          </w:p>
        </w:tc>
        <w:tc>
          <w:tcPr>
            <w:tcW w:w="3641" w:type="dxa"/>
            <w:vAlign w:val="center"/>
          </w:tcPr>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Access to key funders/institutions within the community</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Access to non-monetary resources (e.g. access to school buildings, data support, etc.)</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Ability to leverage capacity and resources through collaboration with other non-profit organizations</w:t>
            </w:r>
          </w:p>
        </w:tc>
        <w:tc>
          <w:tcPr>
            <w:tcW w:w="3150" w:type="dxa"/>
            <w:vAlign w:val="center"/>
          </w:tcPr>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Sharing data with funders can be uncomfortable for program providers</w:t>
            </w:r>
          </w:p>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Fear that Partnership priorities may not align with own mission or that they’ll be forced to dramatically alter practices to participate in the partnership</w:t>
            </w:r>
          </w:p>
        </w:tc>
        <w:tc>
          <w:tcPr>
            <w:tcW w:w="6300" w:type="dxa"/>
            <w:vAlign w:val="center"/>
          </w:tcPr>
          <w:p w:rsidR="004A74E1" w:rsidRPr="005B42FA" w:rsidRDefault="004A74E1" w:rsidP="005F5315">
            <w:pPr>
              <w:ind w:right="-32"/>
              <w:rPr>
                <w:rFonts w:ascii="Calibri" w:eastAsia="Calibri" w:hAnsi="Calibri" w:cs="Calibri"/>
                <w:spacing w:val="1"/>
              </w:rPr>
            </w:pPr>
            <w:r w:rsidRPr="005B42FA">
              <w:rPr>
                <w:rFonts w:ascii="Calibri" w:eastAsia="Calibri" w:hAnsi="Calibri" w:cs="Calibri"/>
                <w:spacing w:val="1"/>
              </w:rPr>
              <w:t>Communicating the importance of data for improving</w:t>
            </w:r>
            <w:r w:rsidR="005B42FA" w:rsidRPr="005B42FA">
              <w:rPr>
                <w:rFonts w:ascii="Calibri" w:eastAsia="Calibri" w:hAnsi="Calibri" w:cs="Calibri"/>
                <w:spacing w:val="1"/>
              </w:rPr>
              <w:t xml:space="preserve"> practices </w:t>
            </w:r>
            <w:r w:rsidRPr="005B42FA">
              <w:rPr>
                <w:rFonts w:ascii="Calibri" w:eastAsia="Calibri" w:hAnsi="Calibri" w:cs="Calibri"/>
                <w:spacing w:val="1"/>
              </w:rPr>
              <w:t>is critical for providers to engage with the Partnership Table. An effective Data Manager who can bu</w:t>
            </w:r>
            <w:r w:rsidR="005B42FA" w:rsidRPr="005B42FA">
              <w:rPr>
                <w:rFonts w:ascii="Calibri" w:eastAsia="Calibri" w:hAnsi="Calibri" w:cs="Calibri"/>
                <w:spacing w:val="1"/>
              </w:rPr>
              <w:t>ild trust with non</w:t>
            </w:r>
            <w:r w:rsidRPr="005B42FA">
              <w:rPr>
                <w:rFonts w:ascii="Calibri" w:eastAsia="Calibri" w:hAnsi="Calibri" w:cs="Calibri"/>
                <w:spacing w:val="1"/>
              </w:rPr>
              <w:t>profits and other data-sharing partners is a key resource for the Partnership.</w:t>
            </w:r>
          </w:p>
        </w:tc>
      </w:tr>
      <w:tr w:rsidR="004A74E1" w:rsidRPr="004A74E1" w:rsidTr="005F5315">
        <w:trPr>
          <w:trHeight w:val="2533"/>
        </w:trPr>
        <w:tc>
          <w:tcPr>
            <w:tcW w:w="1399" w:type="dxa"/>
            <w:shd w:val="clear" w:color="auto" w:fill="98B0BE"/>
            <w:vAlign w:val="center"/>
          </w:tcPr>
          <w:p w:rsidR="004A74E1" w:rsidRDefault="004A74E1" w:rsidP="002B2AC9">
            <w:pPr>
              <w:tabs>
                <w:tab w:val="left" w:pos="3150"/>
              </w:tabs>
              <w:jc w:val="center"/>
              <w:rPr>
                <w:b/>
              </w:rPr>
            </w:pPr>
            <w:r>
              <w:rPr>
                <w:b/>
              </w:rPr>
              <w:lastRenderedPageBreak/>
              <w:t>Business</w:t>
            </w:r>
          </w:p>
        </w:tc>
        <w:tc>
          <w:tcPr>
            <w:tcW w:w="3641" w:type="dxa"/>
            <w:vAlign w:val="center"/>
          </w:tcPr>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Development of talent pipeline to ensure quality workforce within the region</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Increased impact for dollars invested in the community</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Opportunity to de</w:t>
            </w:r>
            <w:r w:rsidR="005B42FA">
              <w:rPr>
                <w:rFonts w:ascii="Calibri" w:eastAsia="Calibri" w:hAnsi="Calibri" w:cs="Calibri"/>
              </w:rPr>
              <w:t>monstrate leadership in the non</w:t>
            </w:r>
            <w:r w:rsidRPr="005B42FA">
              <w:rPr>
                <w:rFonts w:ascii="Calibri" w:eastAsia="Calibri" w:hAnsi="Calibri" w:cs="Calibri"/>
              </w:rPr>
              <w:t>profit arena</w:t>
            </w:r>
          </w:p>
        </w:tc>
        <w:tc>
          <w:tcPr>
            <w:tcW w:w="3150" w:type="dxa"/>
            <w:vAlign w:val="center"/>
          </w:tcPr>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Perception of time demands may make commitment difficult for top-level CEOs</w:t>
            </w:r>
          </w:p>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Partnership will be yet another reform “table</w:t>
            </w:r>
            <w:r w:rsidR="005B42FA">
              <w:rPr>
                <w:rFonts w:ascii="Calibri" w:eastAsia="Calibri" w:hAnsi="Calibri" w:cs="Calibri"/>
                <w:spacing w:val="1"/>
              </w:rPr>
              <w:t>” in the community that is well-</w:t>
            </w:r>
            <w:r w:rsidRPr="005B42FA">
              <w:rPr>
                <w:rFonts w:ascii="Calibri" w:eastAsia="Calibri" w:hAnsi="Calibri" w:cs="Calibri"/>
                <w:spacing w:val="1"/>
              </w:rPr>
              <w:t>intentioned, but does not improve outcomes</w:t>
            </w:r>
          </w:p>
        </w:tc>
        <w:tc>
          <w:tcPr>
            <w:tcW w:w="6300" w:type="dxa"/>
            <w:vAlign w:val="center"/>
          </w:tcPr>
          <w:p w:rsidR="004A74E1" w:rsidRPr="005B42FA" w:rsidRDefault="004A74E1" w:rsidP="005F5315">
            <w:pPr>
              <w:ind w:right="-32"/>
              <w:rPr>
                <w:rFonts w:ascii="Calibri" w:eastAsia="Calibri" w:hAnsi="Calibri" w:cs="Calibri"/>
                <w:spacing w:val="1"/>
              </w:rPr>
            </w:pPr>
            <w:r w:rsidRPr="005B42FA">
              <w:rPr>
                <w:rFonts w:ascii="Calibri" w:eastAsia="Calibri" w:hAnsi="Calibri" w:cs="Calibri"/>
                <w:spacing w:val="1"/>
              </w:rPr>
              <w:t>Focusing on the importance of evidence-based decision making and continuous improvement often helps businesses to understand the value of the Partnership. Often business partners have continuous improvement expertise within their organization that can be leveraged to support Collaborative Action and ensure additional buy-in from business leaders.</w:t>
            </w:r>
          </w:p>
        </w:tc>
      </w:tr>
      <w:tr w:rsidR="004A74E1" w:rsidRPr="004A74E1" w:rsidTr="005F5315">
        <w:trPr>
          <w:trHeight w:val="2533"/>
        </w:trPr>
        <w:tc>
          <w:tcPr>
            <w:tcW w:w="1399" w:type="dxa"/>
            <w:shd w:val="clear" w:color="auto" w:fill="98B0BE"/>
            <w:vAlign w:val="center"/>
          </w:tcPr>
          <w:p w:rsidR="004A74E1" w:rsidRDefault="004A74E1" w:rsidP="002B2AC9">
            <w:pPr>
              <w:tabs>
                <w:tab w:val="left" w:pos="3150"/>
              </w:tabs>
              <w:jc w:val="center"/>
              <w:rPr>
                <w:b/>
              </w:rPr>
            </w:pPr>
            <w:r>
              <w:rPr>
                <w:b/>
              </w:rPr>
              <w:t>Government</w:t>
            </w:r>
          </w:p>
        </w:tc>
        <w:tc>
          <w:tcPr>
            <w:tcW w:w="3641" w:type="dxa"/>
            <w:vAlign w:val="center"/>
          </w:tcPr>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Increased performance for local educational systems</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Alignment of administrative priorities with top-level community leaders</w:t>
            </w:r>
          </w:p>
        </w:tc>
        <w:tc>
          <w:tcPr>
            <w:tcW w:w="3150" w:type="dxa"/>
            <w:vAlign w:val="center"/>
          </w:tcPr>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Process may be perceived to move too slowly to align with electoral cycles or administrative priorities</w:t>
            </w:r>
          </w:p>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Lack of control over Partnership priorities</w:t>
            </w:r>
          </w:p>
        </w:tc>
        <w:tc>
          <w:tcPr>
            <w:tcW w:w="6300" w:type="dxa"/>
            <w:vAlign w:val="center"/>
          </w:tcPr>
          <w:p w:rsidR="004A74E1" w:rsidRPr="005B42FA" w:rsidRDefault="004A74E1" w:rsidP="005F5315">
            <w:pPr>
              <w:ind w:right="-32"/>
              <w:rPr>
                <w:rFonts w:ascii="Calibri" w:eastAsia="Calibri" w:hAnsi="Calibri" w:cs="Calibri"/>
                <w:spacing w:val="1"/>
              </w:rPr>
            </w:pPr>
            <w:r w:rsidRPr="005B42FA">
              <w:rPr>
                <w:rFonts w:ascii="Calibri" w:eastAsia="Calibri" w:hAnsi="Calibri" w:cs="Calibri"/>
                <w:spacing w:val="1"/>
              </w:rPr>
              <w:t>Must work to identify clear/early wins to build momentum for the Partnership and generate positive attention to leaders of the work. Must develop an accountability structure that utilizes civ</w:t>
            </w:r>
            <w:bookmarkStart w:id="0" w:name="_GoBack"/>
            <w:bookmarkEnd w:id="0"/>
            <w:r w:rsidRPr="005B42FA">
              <w:rPr>
                <w:rFonts w:ascii="Calibri" w:eastAsia="Calibri" w:hAnsi="Calibri" w:cs="Calibri"/>
                <w:spacing w:val="1"/>
              </w:rPr>
              <w:t>ic leaders</w:t>
            </w:r>
            <w:r w:rsidR="005B42FA">
              <w:rPr>
                <w:rFonts w:ascii="Calibri" w:eastAsia="Calibri" w:hAnsi="Calibri" w:cs="Calibri"/>
                <w:spacing w:val="1"/>
              </w:rPr>
              <w:t>’</w:t>
            </w:r>
            <w:r w:rsidRPr="005B42FA">
              <w:rPr>
                <w:rFonts w:ascii="Calibri" w:eastAsia="Calibri" w:hAnsi="Calibri" w:cs="Calibri"/>
                <w:spacing w:val="1"/>
              </w:rPr>
              <w:t xml:space="preserve"> time effectively.</w:t>
            </w:r>
          </w:p>
        </w:tc>
      </w:tr>
      <w:tr w:rsidR="004A74E1" w:rsidRPr="004A74E1" w:rsidTr="005F5315">
        <w:trPr>
          <w:trHeight w:val="2533"/>
        </w:trPr>
        <w:tc>
          <w:tcPr>
            <w:tcW w:w="1399" w:type="dxa"/>
            <w:shd w:val="clear" w:color="auto" w:fill="98B0BE"/>
            <w:vAlign w:val="center"/>
          </w:tcPr>
          <w:p w:rsidR="004A74E1" w:rsidRDefault="004A74E1" w:rsidP="002B2AC9">
            <w:pPr>
              <w:tabs>
                <w:tab w:val="left" w:pos="3150"/>
              </w:tabs>
              <w:jc w:val="center"/>
              <w:rPr>
                <w:b/>
              </w:rPr>
            </w:pPr>
            <w:r>
              <w:rPr>
                <w:b/>
              </w:rPr>
              <w:t>Community</w:t>
            </w:r>
          </w:p>
        </w:tc>
        <w:tc>
          <w:tcPr>
            <w:tcW w:w="3641" w:type="dxa"/>
            <w:vAlign w:val="center"/>
          </w:tcPr>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 xml:space="preserve">Building cross-sector support </w:t>
            </w:r>
            <w:r w:rsidRPr="005B42FA">
              <w:rPr>
                <w:rFonts w:ascii="Calibri" w:eastAsia="Calibri" w:hAnsi="Calibri" w:cs="Calibri"/>
              </w:rPr>
              <w:br/>
              <w:t>and engagement in community priorities</w:t>
            </w:r>
          </w:p>
          <w:p w:rsidR="004A74E1" w:rsidRPr="005B42FA" w:rsidRDefault="004A74E1" w:rsidP="005F5315">
            <w:pPr>
              <w:pStyle w:val="ListParagraph"/>
              <w:numPr>
                <w:ilvl w:val="0"/>
                <w:numId w:val="1"/>
              </w:numPr>
              <w:tabs>
                <w:tab w:val="left" w:pos="820"/>
              </w:tabs>
              <w:spacing w:before="12"/>
              <w:ind w:right="-20"/>
              <w:rPr>
                <w:rFonts w:ascii="Calibri" w:eastAsia="Calibri" w:hAnsi="Calibri" w:cs="Calibri"/>
              </w:rPr>
            </w:pPr>
            <w:r w:rsidRPr="005B42FA">
              <w:rPr>
                <w:rFonts w:ascii="Calibri" w:eastAsia="Calibri" w:hAnsi="Calibri" w:cs="Calibri"/>
              </w:rPr>
              <w:t>Taking a whole-system approach as opposed to a programmatic approach.</w:t>
            </w:r>
          </w:p>
        </w:tc>
        <w:tc>
          <w:tcPr>
            <w:tcW w:w="3150" w:type="dxa"/>
            <w:vAlign w:val="center"/>
          </w:tcPr>
          <w:p w:rsidR="004A74E1" w:rsidRPr="005B42FA" w:rsidRDefault="004A74E1" w:rsidP="005F5315">
            <w:pPr>
              <w:pStyle w:val="ListParagraph"/>
              <w:numPr>
                <w:ilvl w:val="0"/>
                <w:numId w:val="1"/>
              </w:numPr>
              <w:tabs>
                <w:tab w:val="left" w:pos="820"/>
              </w:tabs>
              <w:spacing w:before="14"/>
              <w:ind w:right="-20"/>
              <w:rPr>
                <w:rFonts w:ascii="Calibri" w:eastAsia="Calibri" w:hAnsi="Calibri" w:cs="Calibri"/>
                <w:spacing w:val="1"/>
              </w:rPr>
            </w:pPr>
            <w:r w:rsidRPr="005B42FA">
              <w:rPr>
                <w:rFonts w:ascii="Calibri" w:eastAsia="Calibri" w:hAnsi="Calibri" w:cs="Calibri"/>
                <w:spacing w:val="1"/>
              </w:rPr>
              <w:t>Top-level leaders will drive strategy and implementation without community input and engagement</w:t>
            </w:r>
          </w:p>
        </w:tc>
        <w:tc>
          <w:tcPr>
            <w:tcW w:w="6300" w:type="dxa"/>
            <w:vAlign w:val="center"/>
          </w:tcPr>
          <w:p w:rsidR="004A74E1" w:rsidRPr="005B42FA" w:rsidRDefault="004A74E1" w:rsidP="005F5315">
            <w:pPr>
              <w:ind w:right="-32"/>
              <w:rPr>
                <w:rFonts w:ascii="Calibri" w:eastAsia="Calibri" w:hAnsi="Calibri" w:cs="Calibri"/>
                <w:spacing w:val="1"/>
              </w:rPr>
            </w:pPr>
            <w:r w:rsidRPr="005B42FA">
              <w:rPr>
                <w:rFonts w:ascii="Calibri" w:eastAsia="Calibri" w:hAnsi="Calibri" w:cs="Calibri"/>
                <w:spacing w:val="1"/>
              </w:rPr>
              <w:t>“Run to your history” – Review prior community engagement efforts around the work and involve community leaders in the process from the outset. Learning from past efforts will ensure the Partnership is aware of potential pitfalls and engaging community leaders will help to develop champions for the work at the grassroots level.</w:t>
            </w:r>
          </w:p>
        </w:tc>
      </w:tr>
    </w:tbl>
    <w:p w:rsidR="004A74E1" w:rsidRPr="002A7FD0" w:rsidRDefault="004A74E1" w:rsidP="004A74E1">
      <w:pPr>
        <w:tabs>
          <w:tab w:val="left" w:pos="3150"/>
        </w:tabs>
        <w:spacing w:after="0" w:line="240" w:lineRule="auto"/>
      </w:pPr>
    </w:p>
    <w:sectPr w:rsidR="004A74E1" w:rsidRPr="002A7FD0" w:rsidSect="004A74E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16" w:rsidRDefault="00E43616" w:rsidP="002A7FD0">
      <w:pPr>
        <w:spacing w:after="0" w:line="240" w:lineRule="auto"/>
      </w:pPr>
      <w:r>
        <w:separator/>
      </w:r>
    </w:p>
  </w:endnote>
  <w:endnote w:type="continuationSeparator" w:id="0">
    <w:p w:rsidR="00E43616" w:rsidRDefault="00E43616" w:rsidP="002A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D0" w:rsidRPr="002A7FD0" w:rsidRDefault="002A7FD0">
    <w:pPr>
      <w:pStyle w:val="Footer"/>
      <w:rPr>
        <w:rFonts w:ascii="Open Sans" w:hAnsi="Open Sans" w:cs="Open Sans"/>
        <w:color w:val="415968"/>
        <w:sz w:val="18"/>
      </w:rPr>
    </w:pPr>
    <w:r w:rsidRPr="002A7FD0">
      <w:rPr>
        <w:rFonts w:ascii="Open Sans" w:hAnsi="Open Sans" w:cs="Open Sans"/>
        <w:color w:val="415968"/>
        <w:sz w:val="18"/>
      </w:rPr>
      <w:t>© StriveTogether 2016</w:t>
    </w:r>
    <w:r w:rsidRPr="002A7FD0">
      <w:rPr>
        <w:rFonts w:ascii="Open Sans" w:hAnsi="Open Sans" w:cs="Open Sans"/>
        <w:color w:val="415968"/>
        <w:sz w:val="18"/>
      </w:rPr>
      <w:tab/>
    </w:r>
    <w:r w:rsidRPr="002A7FD0">
      <w:rPr>
        <w:rFonts w:ascii="Open Sans" w:hAnsi="Open Sans" w:cs="Open Sans"/>
        <w:color w:val="415968"/>
        <w:sz w:val="18"/>
      </w:rPr>
      <w:tab/>
    </w:r>
    <w:r w:rsidR="00781161">
      <w:rPr>
        <w:rFonts w:ascii="Open Sans" w:hAnsi="Open Sans" w:cs="Open Sans"/>
        <w:color w:val="415968"/>
        <w:sz w:val="18"/>
      </w:rPr>
      <w:tab/>
    </w:r>
    <w:r w:rsidR="00781161">
      <w:rPr>
        <w:rFonts w:ascii="Open Sans" w:hAnsi="Open Sans" w:cs="Open Sans"/>
        <w:color w:val="415968"/>
        <w:sz w:val="18"/>
      </w:rPr>
      <w:tab/>
    </w:r>
    <w:r w:rsidR="00781161">
      <w:rPr>
        <w:rFonts w:ascii="Open Sans" w:hAnsi="Open Sans" w:cs="Open Sans"/>
        <w:color w:val="415968"/>
        <w:sz w:val="18"/>
      </w:rPr>
      <w:tab/>
    </w:r>
    <w:r w:rsidR="00781161">
      <w:rPr>
        <w:rFonts w:ascii="Open Sans" w:hAnsi="Open Sans" w:cs="Open Sans"/>
        <w:color w:val="415968"/>
        <w:sz w:val="18"/>
      </w:rPr>
      <w:tab/>
    </w:r>
    <w:r w:rsidRPr="002A7FD0">
      <w:rPr>
        <w:rFonts w:ascii="Open Sans" w:hAnsi="Open Sans" w:cs="Open Sans"/>
        <w:color w:val="415968"/>
        <w:sz w:val="18"/>
      </w:rPr>
      <w:t xml:space="preserve">Page </w:t>
    </w:r>
    <w:r w:rsidRPr="002A7FD0">
      <w:rPr>
        <w:rFonts w:ascii="Open Sans" w:hAnsi="Open Sans" w:cs="Open Sans"/>
        <w:color w:val="415968"/>
        <w:sz w:val="18"/>
      </w:rPr>
      <w:fldChar w:fldCharType="begin"/>
    </w:r>
    <w:r w:rsidRPr="002A7FD0">
      <w:rPr>
        <w:rFonts w:ascii="Open Sans" w:hAnsi="Open Sans" w:cs="Open Sans"/>
        <w:color w:val="415968"/>
        <w:sz w:val="18"/>
      </w:rPr>
      <w:instrText xml:space="preserve"> PAGE   \* MERGEFORMAT </w:instrText>
    </w:r>
    <w:r w:rsidRPr="002A7FD0">
      <w:rPr>
        <w:rFonts w:ascii="Open Sans" w:hAnsi="Open Sans" w:cs="Open Sans"/>
        <w:color w:val="415968"/>
        <w:sz w:val="18"/>
      </w:rPr>
      <w:fldChar w:fldCharType="separate"/>
    </w:r>
    <w:r w:rsidR="005B42FA">
      <w:rPr>
        <w:rFonts w:ascii="Open Sans" w:hAnsi="Open Sans" w:cs="Open Sans"/>
        <w:noProof/>
        <w:color w:val="415968"/>
        <w:sz w:val="18"/>
      </w:rPr>
      <w:t>2</w:t>
    </w:r>
    <w:r w:rsidRPr="002A7FD0">
      <w:rPr>
        <w:rFonts w:ascii="Open Sans" w:hAnsi="Open Sans" w:cs="Open Sans"/>
        <w:noProof/>
        <w:color w:val="41596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16" w:rsidRDefault="00E43616" w:rsidP="002A7FD0">
      <w:pPr>
        <w:spacing w:after="0" w:line="240" w:lineRule="auto"/>
      </w:pPr>
      <w:r>
        <w:separator/>
      </w:r>
    </w:p>
  </w:footnote>
  <w:footnote w:type="continuationSeparator" w:id="0">
    <w:p w:rsidR="00E43616" w:rsidRDefault="00E43616" w:rsidP="002A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924"/>
    <w:multiLevelType w:val="hybridMultilevel"/>
    <w:tmpl w:val="5EAEAF4A"/>
    <w:lvl w:ilvl="0" w:tplc="9DD442BA">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6BC2A17"/>
    <w:multiLevelType w:val="hybridMultilevel"/>
    <w:tmpl w:val="A0D8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E1"/>
    <w:rsid w:val="00195E31"/>
    <w:rsid w:val="002A7FD0"/>
    <w:rsid w:val="00305963"/>
    <w:rsid w:val="003F2AA1"/>
    <w:rsid w:val="00473F9F"/>
    <w:rsid w:val="004A74E1"/>
    <w:rsid w:val="005B42FA"/>
    <w:rsid w:val="005F5315"/>
    <w:rsid w:val="00775F36"/>
    <w:rsid w:val="00781161"/>
    <w:rsid w:val="00904A89"/>
    <w:rsid w:val="00A97B1D"/>
    <w:rsid w:val="00E16053"/>
    <w:rsid w:val="00E4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3A5B"/>
  <w15:docId w15:val="{FCC50298-B627-4B15-80E5-742D4683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D0"/>
  </w:style>
  <w:style w:type="paragraph" w:styleId="Footer">
    <w:name w:val="footer"/>
    <w:basedOn w:val="Normal"/>
    <w:link w:val="FooterChar"/>
    <w:uiPriority w:val="99"/>
    <w:unhideWhenUsed/>
    <w:rsid w:val="002A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D0"/>
  </w:style>
  <w:style w:type="paragraph" w:styleId="NormalWeb">
    <w:name w:val="Normal (Web)"/>
    <w:basedOn w:val="Normal"/>
    <w:uiPriority w:val="99"/>
    <w:semiHidden/>
    <w:unhideWhenUsed/>
    <w:rsid w:val="002A7FD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16053"/>
    <w:pPr>
      <w:spacing w:after="0" w:line="240" w:lineRule="auto"/>
    </w:pPr>
  </w:style>
  <w:style w:type="table" w:styleId="TableGrid">
    <w:name w:val="Table Grid"/>
    <w:basedOn w:val="TableNormal"/>
    <w:uiPriority w:val="59"/>
    <w:rsid w:val="004A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gnyte\Private\santhosh-kumarp\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Resource Template</Template>
  <TotalTime>14</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knowledgeworks.org</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Santhosh-Kumar, Parvathi</dc:creator>
  <cp:lastModifiedBy>Santhosh-Kumar, Parvathi</cp:lastModifiedBy>
  <cp:revision>5</cp:revision>
  <dcterms:created xsi:type="dcterms:W3CDTF">2017-02-24T21:30:00Z</dcterms:created>
  <dcterms:modified xsi:type="dcterms:W3CDTF">2017-02-24T22:15:00Z</dcterms:modified>
</cp:coreProperties>
</file>