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7FD0" w:rsidRDefault="007F2839" w:rsidP="00990D59">
      <w:pPr>
        <w:spacing w:after="0" w:line="240" w:lineRule="auto"/>
      </w:pPr>
      <w:r>
        <w:rPr>
          <w:noProof/>
        </w:rPr>
        <mc:AlternateContent>
          <mc:Choice Requires="wps">
            <w:drawing>
              <wp:anchor distT="0" distB="0" distL="114300" distR="114300" simplePos="0" relativeHeight="251658752" behindDoc="0" locked="0" layoutInCell="1" allowOverlap="1" wp14:anchorId="13925B53" wp14:editId="70C6498E">
                <wp:simplePos x="0" y="0"/>
                <wp:positionH relativeFrom="column">
                  <wp:posOffset>3181350</wp:posOffset>
                </wp:positionH>
                <wp:positionV relativeFrom="paragraph">
                  <wp:posOffset>-771525</wp:posOffset>
                </wp:positionV>
                <wp:extent cx="3848100" cy="522605"/>
                <wp:effectExtent l="0" t="0" r="0" b="0"/>
                <wp:wrapNone/>
                <wp:docPr id="4" name="TextBox 3"/>
                <wp:cNvGraphicFramePr/>
                <a:graphic xmlns:a="http://schemas.openxmlformats.org/drawingml/2006/main">
                  <a:graphicData uri="http://schemas.microsoft.com/office/word/2010/wordprocessingShape">
                    <wps:wsp>
                      <wps:cNvSpPr txBox="1"/>
                      <wps:spPr>
                        <a:xfrm>
                          <a:off x="0" y="0"/>
                          <a:ext cx="3848100" cy="522605"/>
                        </a:xfrm>
                        <a:prstGeom prst="rect">
                          <a:avLst/>
                        </a:prstGeom>
                        <a:noFill/>
                      </wps:spPr>
                      <wps:txbx>
                        <w:txbxContent>
                          <w:p w:rsidR="002A7FD0" w:rsidRPr="007F2839" w:rsidRDefault="007F2839" w:rsidP="002A7FD0">
                            <w:pPr>
                              <w:pStyle w:val="NormalWeb"/>
                              <w:spacing w:before="0" w:beforeAutospacing="0" w:after="0" w:afterAutospacing="0"/>
                              <w:rPr>
                                <w:b/>
                                <w:sz w:val="14"/>
                              </w:rPr>
                            </w:pPr>
                            <w:r w:rsidRPr="007F2839">
                              <w:rPr>
                                <w:rFonts w:ascii="Open Sans" w:eastAsia="+mn-ea" w:hAnsi="Open Sans" w:cs="Open Sans"/>
                                <w:b/>
                                <w:color w:val="FFFFFF"/>
                                <w:kern w:val="24"/>
                                <w:sz w:val="36"/>
                                <w:szCs w:val="56"/>
                              </w:rPr>
                              <w:t>Investment and Sustainability: Engaging Funders in the Vision</w:t>
                            </w:r>
                          </w:p>
                        </w:txbxContent>
                      </wps:txbx>
                      <wps:bodyPr wrap="square" rtlCol="0">
                        <a:spAutoFit/>
                      </wps:bodyPr>
                    </wps:wsp>
                  </a:graphicData>
                </a:graphic>
                <wp14:sizeRelH relativeFrom="margin">
                  <wp14:pctWidth>0</wp14:pctWidth>
                </wp14:sizeRelH>
              </wp:anchor>
            </w:drawing>
          </mc:Choice>
          <mc:Fallback>
            <w:pict>
              <v:shapetype w14:anchorId="13925B53" id="_x0000_t202" coordsize="21600,21600" o:spt="202" path="m,l,21600r21600,l21600,xe">
                <v:stroke joinstyle="miter"/>
                <v:path gradientshapeok="t" o:connecttype="rect"/>
              </v:shapetype>
              <v:shape id="TextBox 3" o:spid="_x0000_s1026" type="#_x0000_t202" style="position:absolute;margin-left:250.5pt;margin-top:-60.75pt;width:303pt;height:41.15pt;z-index:251658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" filled="f" stroked="f">
                <v:textbox style="mso-fit-shape-to-text:t">
                  <w:txbxContent>
                    <w:p w:rsidR="002A7FD0" w:rsidRPr="007F2839" w:rsidRDefault="007F2839" w:rsidP="002A7FD0">
                      <w:pPr>
                        <w:pStyle w:val="NormalWeb"/>
                        <w:spacing w:before="0" w:beforeAutospacing="0" w:after="0" w:afterAutospacing="0"/>
                        <w:rPr>
                          <w:b/>
                          <w:sz w:val="14"/>
                        </w:rPr>
                      </w:pPr>
                      <w:r w:rsidRPr="007F2839">
                        <w:rPr>
                          <w:rFonts w:ascii="Open Sans" w:eastAsia="+mn-ea" w:hAnsi="Open Sans" w:cs="Open Sans"/>
                          <w:b/>
                          <w:color w:val="FFFFFF"/>
                          <w:kern w:val="24"/>
                          <w:sz w:val="36"/>
                          <w:szCs w:val="56"/>
                        </w:rPr>
                        <w:t>Investment and Sustainability: Engaging Funders in the Vision</w:t>
                      </w:r>
                    </w:p>
                  </w:txbxContent>
                </v:textbox>
              </v:shape>
            </w:pict>
          </mc:Fallback>
        </mc:AlternateContent>
      </w:r>
      <w:r w:rsidR="00775F36">
        <w:rPr>
          <w:noProof/>
        </w:rPr>
        <w:drawing>
          <wp:anchor distT="0" distB="0" distL="114300" distR="114300" simplePos="0" relativeHeight="251660800" behindDoc="0" locked="0" layoutInCell="1" allowOverlap="1" wp14:anchorId="5CE58B87" wp14:editId="6D26900F">
            <wp:simplePos x="0" y="0"/>
            <wp:positionH relativeFrom="margin">
              <wp:posOffset>0</wp:posOffset>
            </wp:positionH>
            <wp:positionV relativeFrom="paragraph">
              <wp:posOffset>-657550</wp:posOffset>
            </wp:positionV>
            <wp:extent cx="2743200" cy="576025"/>
            <wp:effectExtent l="0" t="0" r="0" b="0"/>
            <wp:wrapNone/>
            <wp:docPr id="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1"/>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2743200" cy="576025"/>
                    </a:xfrm>
                    <a:prstGeom prst="rect">
                      <a:avLst/>
                    </a:prstGeom>
                  </pic:spPr>
                </pic:pic>
              </a:graphicData>
            </a:graphic>
          </wp:anchor>
        </w:drawing>
      </w:r>
      <w:r w:rsidR="002A7FD0">
        <w:rPr>
          <w:noProof/>
        </w:rPr>
        <mc:AlternateContent>
          <mc:Choice Requires="wps">
            <w:drawing>
              <wp:anchor distT="0" distB="0" distL="114300" distR="114300" simplePos="0" relativeHeight="251657728" behindDoc="0" locked="0" layoutInCell="1" allowOverlap="1" wp14:anchorId="7B717D5E" wp14:editId="4BE36AF8">
                <wp:simplePos x="0" y="0"/>
                <wp:positionH relativeFrom="column">
                  <wp:posOffset>-914400</wp:posOffset>
                </wp:positionH>
                <wp:positionV relativeFrom="paragraph">
                  <wp:posOffset>-904875</wp:posOffset>
                </wp:positionV>
                <wp:extent cx="7762875" cy="942975"/>
                <wp:effectExtent l="0" t="0" r="28575" b="28575"/>
                <wp:wrapNone/>
                <wp:docPr id="10" name="Rectangle 9"/>
                <wp:cNvGraphicFramePr/>
                <a:graphic xmlns:a="http://schemas.openxmlformats.org/drawingml/2006/main">
                  <a:graphicData uri="http://schemas.microsoft.com/office/word/2010/wordprocessingShape">
                    <wps:wsp>
                      <wps:cNvSpPr/>
                      <wps:spPr>
                        <a:xfrm>
                          <a:off x="0" y="0"/>
                          <a:ext cx="7762875" cy="942975"/>
                        </a:xfrm>
                        <a:prstGeom prst="rect">
                          <a:avLst/>
                        </a:prstGeom>
                        <a:solidFill>
                          <a:srgbClr val="425968"/>
                        </a:solidFill>
                        <a:ln w="25400" cap="flat" cmpd="sng" algn="ctr">
                          <a:solidFill>
                            <a:srgbClr val="425968"/>
                          </a:solidFill>
                          <a:prstDash val="solid"/>
                        </a:ln>
                        <a:effectLst/>
                      </wps:spPr>
                      <wps:bodyPr rtlCol="0" anchor="ctr"/>
                    </wps:wsp>
                  </a:graphicData>
                </a:graphic>
                <wp14:sizeRelH relativeFrom="margin">
                  <wp14:pctWidth>0</wp14:pctWidth>
                </wp14:sizeRelH>
                <wp14:sizeRelV relativeFrom="margin">
                  <wp14:pctHeight>0</wp14:pctHeight>
                </wp14:sizeRelV>
              </wp:anchor>
            </w:drawing>
          </mc:Choice>
          <mc:Fallback>
            <w:pict>
              <v:rect w14:anchorId="24B1BF96" id="Rectangle 9" o:spid="_x0000_s1026" style="position:absolute;margin-left:-1in;margin-top:-71.25pt;width:611.25pt;height:74.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" fillcolor="#425968" strokecolor="#425968" strokeweight="2pt"/>
            </w:pict>
          </mc:Fallback>
        </mc:AlternateContent>
      </w:r>
    </w:p>
    <w:p w:rsidR="00E16053" w:rsidRPr="00C129E9" w:rsidRDefault="002A7FD0" w:rsidP="00990D59">
      <w:pPr>
        <w:tabs>
          <w:tab w:val="left" w:pos="3150"/>
        </w:tabs>
        <w:spacing w:after="0" w:line="240" w:lineRule="auto"/>
        <w:jc w:val="center"/>
        <w:rPr>
          <w:rFonts w:ascii="Open Sans" w:hAnsi="Open Sans" w:cs="Open Sans"/>
          <w:b/>
          <w:color w:val="415968"/>
          <w:sz w:val="24"/>
        </w:rPr>
      </w:pPr>
      <w:r>
        <w:rPr>
          <w:noProof/>
        </w:rPr>
        <w:drawing>
          <wp:anchor distT="0" distB="0" distL="114300" distR="114300" simplePos="0" relativeHeight="251656704" behindDoc="0" locked="0" layoutInCell="1" allowOverlap="1" wp14:anchorId="6E8B949E" wp14:editId="7BD15A25">
            <wp:simplePos x="0" y="0"/>
            <wp:positionH relativeFrom="column">
              <wp:posOffset>-392430</wp:posOffset>
            </wp:positionH>
            <wp:positionV relativeFrom="paragraph">
              <wp:posOffset>-1030605</wp:posOffset>
            </wp:positionV>
            <wp:extent cx="2743200" cy="576025"/>
            <wp:effectExtent l="0" t="0" r="0" b="0"/>
            <wp:wrapNone/>
            <wp:docPr id="1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1"/>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2743200" cy="576025"/>
                    </a:xfrm>
                    <a:prstGeom prst="rect">
                      <a:avLst/>
                    </a:prstGeom>
                  </pic:spPr>
                </pic:pic>
              </a:graphicData>
            </a:graphic>
          </wp:anchor>
        </w:drawing>
      </w:r>
      <w:r w:rsidR="007F2839">
        <w:rPr>
          <w:rFonts w:ascii="Open Sans" w:hAnsi="Open Sans" w:cs="Open Sans"/>
          <w:b/>
          <w:color w:val="415968"/>
          <w:sz w:val="28"/>
        </w:rPr>
        <w:t>Engaging Funders in the Vision</w:t>
      </w:r>
      <w:r w:rsidR="00E16053" w:rsidRPr="00C129E9">
        <w:rPr>
          <w:rFonts w:ascii="Open Sans" w:hAnsi="Open Sans" w:cs="Open Sans"/>
          <w:b/>
          <w:color w:val="415968"/>
          <w:sz w:val="28"/>
        </w:rPr>
        <w:t xml:space="preserve">: </w:t>
      </w:r>
    </w:p>
    <w:p w:rsidR="00E16053" w:rsidRDefault="007F2839" w:rsidP="00990D59">
      <w:pPr>
        <w:pStyle w:val="NoSpacing"/>
        <w:jc w:val="center"/>
        <w:rPr>
          <w:b/>
          <w:color w:val="415968"/>
          <w:sz w:val="28"/>
        </w:rPr>
      </w:pPr>
      <w:r>
        <w:rPr>
          <w:rFonts w:ascii="Open Sans" w:hAnsi="Open Sans" w:cs="Open Sans"/>
          <w:b/>
          <w:color w:val="415968"/>
        </w:rPr>
        <w:t>An Important Step toward Investment and Sustainability</w:t>
      </w:r>
    </w:p>
    <w:p w:rsidR="00E16053" w:rsidRDefault="00E16053" w:rsidP="00990D59">
      <w:pPr>
        <w:pStyle w:val="NoSpacing"/>
        <w:rPr>
          <w:b/>
          <w:color w:val="415968"/>
          <w:sz w:val="28"/>
        </w:rPr>
      </w:pPr>
    </w:p>
    <w:p w:rsidR="007F2839" w:rsidRPr="007F2839" w:rsidRDefault="007F2839" w:rsidP="00990D59">
      <w:pPr>
        <w:shd w:val="clear" w:color="auto" w:fill="FFFFFF"/>
        <w:spacing w:after="0" w:line="240" w:lineRule="auto"/>
        <w:rPr>
          <w:rFonts w:ascii="Open Sans" w:eastAsia="Times New Roman" w:hAnsi="Open Sans" w:cs="Open Sans"/>
          <w:color w:val="304547"/>
          <w:sz w:val="21"/>
          <w:szCs w:val="21"/>
        </w:rPr>
      </w:pPr>
      <w:r>
        <w:rPr>
          <w:rFonts w:ascii="Verdana" w:eastAsia="Times New Roman" w:hAnsi="Verdana" w:cs="Times New Roman"/>
          <w:color w:val="304547"/>
          <w:sz w:val="21"/>
          <w:szCs w:val="21"/>
        </w:rPr>
        <w:t>F</w:t>
      </w:r>
      <w:r w:rsidRPr="007F2839">
        <w:rPr>
          <w:rFonts w:ascii="Verdana" w:eastAsia="Times New Roman" w:hAnsi="Verdana" w:cs="Times New Roman"/>
          <w:color w:val="304547"/>
          <w:sz w:val="21"/>
          <w:szCs w:val="21"/>
        </w:rPr>
        <w:t xml:space="preserve">unding is critical to driving change in our communities. It is easy to see dollars – </w:t>
      </w:r>
      <w:r w:rsidRPr="007F2839">
        <w:rPr>
          <w:rFonts w:ascii="Open Sans" w:eastAsia="Times New Roman" w:hAnsi="Open Sans" w:cs="Open Sans"/>
          <w:color w:val="304547"/>
          <w:sz w:val="21"/>
          <w:szCs w:val="21"/>
        </w:rPr>
        <w:t>public or private – as the lifeblood of any initiative’s sustainability. However, it is also easy to look past the larger role that investors can play in collective impact work. In the end, investors can engage in community-wide action in meaningful ways that transcend the traditional roles that have been defined over time that too often focus on putting resources behind individual programs and services.</w:t>
      </w:r>
    </w:p>
    <w:p w:rsidR="007F2839" w:rsidRPr="007F2839" w:rsidRDefault="007F2839" w:rsidP="00990D59">
      <w:pPr>
        <w:shd w:val="clear" w:color="auto" w:fill="FFFFFF"/>
        <w:spacing w:after="0" w:line="240" w:lineRule="auto"/>
        <w:rPr>
          <w:rFonts w:ascii="Open Sans" w:eastAsia="Times New Roman" w:hAnsi="Open Sans" w:cs="Open Sans"/>
          <w:color w:val="304547"/>
          <w:sz w:val="21"/>
          <w:szCs w:val="21"/>
        </w:rPr>
      </w:pPr>
    </w:p>
    <w:p w:rsidR="007F2839" w:rsidRPr="007F2839" w:rsidRDefault="007F2839" w:rsidP="00990D59">
      <w:pPr>
        <w:shd w:val="clear" w:color="auto" w:fill="FFFFFF"/>
        <w:spacing w:after="0" w:line="240" w:lineRule="auto"/>
        <w:rPr>
          <w:rFonts w:ascii="Open Sans" w:eastAsia="Times New Roman" w:hAnsi="Open Sans" w:cs="Open Sans"/>
          <w:color w:val="304547"/>
          <w:sz w:val="21"/>
          <w:szCs w:val="21"/>
        </w:rPr>
      </w:pPr>
      <w:r w:rsidRPr="007F2839">
        <w:rPr>
          <w:rFonts w:ascii="Open Sans" w:eastAsia="Times New Roman" w:hAnsi="Open Sans" w:cs="Open Sans"/>
          <w:color w:val="304547"/>
          <w:sz w:val="21"/>
          <w:szCs w:val="21"/>
        </w:rPr>
        <w:t>The role of the investor in quality collective impact work may be harder to quantify when we get beyond dollars and cents, but is critical to building the roots needed to grow sustainable “civic infrastructure” – the organization of all community resources around a single vision with focus on measuring and improving results overtime. If investors are intentionally and actively involved in initiatives focused on long-term solutions to complex social problems, we can maximize the value of their philanthropy and change the paradigm on their role in such work.</w:t>
      </w:r>
    </w:p>
    <w:p w:rsidR="007F2839" w:rsidRPr="007F2839" w:rsidRDefault="007F2839" w:rsidP="00990D59">
      <w:pPr>
        <w:shd w:val="clear" w:color="auto" w:fill="FFFFFF"/>
        <w:spacing w:after="0" w:line="240" w:lineRule="auto"/>
        <w:rPr>
          <w:rFonts w:ascii="Open Sans" w:eastAsia="Times New Roman" w:hAnsi="Open Sans" w:cs="Open Sans"/>
          <w:color w:val="304547"/>
          <w:sz w:val="21"/>
          <w:szCs w:val="21"/>
        </w:rPr>
      </w:pPr>
    </w:p>
    <w:p w:rsidR="00990D59" w:rsidRDefault="007F2839" w:rsidP="00990D59">
      <w:pPr>
        <w:shd w:val="clear" w:color="auto" w:fill="FFFFFF"/>
        <w:spacing w:after="0" w:line="240" w:lineRule="auto"/>
        <w:rPr>
          <w:rFonts w:ascii="Open Sans" w:eastAsia="Times New Roman" w:hAnsi="Open Sans" w:cs="Open Sans"/>
          <w:color w:val="304547"/>
          <w:sz w:val="21"/>
          <w:szCs w:val="21"/>
        </w:rPr>
      </w:pPr>
      <w:r w:rsidRPr="007F2839">
        <w:rPr>
          <w:rFonts w:ascii="Open Sans" w:eastAsia="Times New Roman" w:hAnsi="Open Sans" w:cs="Open Sans"/>
          <w:color w:val="304547"/>
          <w:sz w:val="21"/>
          <w:szCs w:val="21"/>
        </w:rPr>
        <w:t>To explore how this shift could occur and specifically the key roles investors can play in rigorous collective impact partnerships, StriveTogether collaborated with </w:t>
      </w:r>
      <w:hyperlink r:id="rId8" w:tgtFrame="_blank" w:tooltip="GFE" w:history="1">
        <w:r w:rsidRPr="007F2839">
          <w:rPr>
            <w:rFonts w:ascii="Open Sans" w:eastAsia="Times New Roman" w:hAnsi="Open Sans" w:cs="Open Sans"/>
            <w:color w:val="F47920"/>
            <w:sz w:val="21"/>
            <w:szCs w:val="21"/>
            <w:u w:val="single"/>
          </w:rPr>
          <w:t>Grantmakers for Education</w:t>
        </w:r>
      </w:hyperlink>
      <w:r w:rsidRPr="007F2839">
        <w:rPr>
          <w:rFonts w:ascii="Open Sans" w:eastAsia="Times New Roman" w:hAnsi="Open Sans" w:cs="Open Sans"/>
          <w:color w:val="304547"/>
          <w:sz w:val="21"/>
          <w:szCs w:val="21"/>
        </w:rPr>
        <w:t> </w:t>
      </w:r>
      <w:r w:rsidR="00990D59">
        <w:rPr>
          <w:rFonts w:ascii="Open Sans" w:eastAsia="Times New Roman" w:hAnsi="Open Sans" w:cs="Open Sans"/>
          <w:color w:val="304547"/>
          <w:sz w:val="21"/>
          <w:szCs w:val="21"/>
        </w:rPr>
        <w:t>on</w:t>
      </w:r>
      <w:r w:rsidRPr="007F2839">
        <w:rPr>
          <w:rFonts w:ascii="Open Sans" w:eastAsia="Times New Roman" w:hAnsi="Open Sans" w:cs="Open Sans"/>
          <w:color w:val="304547"/>
          <w:sz w:val="21"/>
          <w:szCs w:val="21"/>
        </w:rPr>
        <w:t> </w:t>
      </w:r>
      <w:hyperlink r:id="rId9" w:tgtFrame="_blank" w:tooltip="Role of Investor Paper" w:history="1">
        <w:r w:rsidRPr="007F2839">
          <w:rPr>
            <w:rFonts w:ascii="Open Sans" w:eastAsia="Times New Roman" w:hAnsi="Open Sans" w:cs="Open Sans"/>
            <w:color w:val="F47920"/>
            <w:sz w:val="21"/>
            <w:szCs w:val="21"/>
            <w:u w:val="single"/>
          </w:rPr>
          <w:t xml:space="preserve">“The Role of Investors: Lessons Learned on Critical Roots that </w:t>
        </w:r>
        <w:r w:rsidR="00990D59">
          <w:rPr>
            <w:rFonts w:ascii="Open Sans" w:eastAsia="Times New Roman" w:hAnsi="Open Sans" w:cs="Open Sans"/>
            <w:color w:val="F47920"/>
            <w:sz w:val="21"/>
            <w:szCs w:val="21"/>
            <w:u w:val="single"/>
          </w:rPr>
          <w:t>Drive Quality Collective Impact</w:t>
        </w:r>
        <w:r w:rsidRPr="007F2839">
          <w:rPr>
            <w:rFonts w:ascii="Open Sans" w:eastAsia="Times New Roman" w:hAnsi="Open Sans" w:cs="Open Sans"/>
            <w:color w:val="F47920"/>
            <w:sz w:val="21"/>
            <w:szCs w:val="21"/>
            <w:u w:val="single"/>
          </w:rPr>
          <w:t>”</w:t>
        </w:r>
      </w:hyperlink>
      <w:r w:rsidR="00990D59">
        <w:rPr>
          <w:rFonts w:ascii="Open Sans" w:eastAsia="Times New Roman" w:hAnsi="Open Sans" w:cs="Open Sans"/>
          <w:color w:val="304547"/>
          <w:sz w:val="21"/>
          <w:szCs w:val="21"/>
        </w:rPr>
        <w:t xml:space="preserve">, a paper discussing </w:t>
      </w:r>
      <w:r w:rsidRPr="007F2839">
        <w:rPr>
          <w:rFonts w:ascii="Open Sans" w:eastAsia="Times New Roman" w:hAnsi="Open Sans" w:cs="Open Sans"/>
          <w:color w:val="304547"/>
          <w:sz w:val="21"/>
          <w:szCs w:val="21"/>
        </w:rPr>
        <w:t>three key lessons learned from conversations with philanthropists engaged in on-the-ground collective impact initiatives across the country.</w:t>
      </w:r>
      <w:r w:rsidR="00990D59">
        <w:rPr>
          <w:rFonts w:ascii="Open Sans" w:eastAsia="Times New Roman" w:hAnsi="Open Sans" w:cs="Open Sans"/>
          <w:color w:val="304547"/>
          <w:sz w:val="21"/>
          <w:szCs w:val="21"/>
        </w:rPr>
        <w:t xml:space="preserve"> </w:t>
      </w:r>
    </w:p>
    <w:p w:rsidR="00990D59" w:rsidRDefault="00990D59" w:rsidP="00990D59">
      <w:pPr>
        <w:shd w:val="clear" w:color="auto" w:fill="FFFFFF"/>
        <w:spacing w:after="0" w:line="240" w:lineRule="auto"/>
        <w:rPr>
          <w:rFonts w:ascii="Open Sans" w:eastAsia="Times New Roman" w:hAnsi="Open Sans" w:cs="Open Sans"/>
          <w:color w:val="304547"/>
          <w:sz w:val="21"/>
          <w:szCs w:val="21"/>
        </w:rPr>
      </w:pPr>
    </w:p>
    <w:p w:rsidR="007F2839" w:rsidRPr="007F2839" w:rsidRDefault="00990D59" w:rsidP="00990D59">
      <w:pPr>
        <w:shd w:val="clear" w:color="auto" w:fill="FFFFFF"/>
        <w:spacing w:after="0" w:line="240" w:lineRule="auto"/>
        <w:rPr>
          <w:rFonts w:ascii="Open Sans" w:eastAsia="Times New Roman" w:hAnsi="Open Sans" w:cs="Open Sans"/>
          <w:color w:val="304547"/>
          <w:sz w:val="21"/>
          <w:szCs w:val="21"/>
        </w:rPr>
      </w:pPr>
      <w:r>
        <w:rPr>
          <w:rFonts w:ascii="Open Sans" w:eastAsia="Times New Roman" w:hAnsi="Open Sans" w:cs="Open Sans"/>
          <w:color w:val="304547"/>
          <w:sz w:val="21"/>
          <w:szCs w:val="21"/>
        </w:rPr>
        <w:t>We</w:t>
      </w:r>
      <w:r w:rsidR="007F2839" w:rsidRPr="007F2839">
        <w:rPr>
          <w:rFonts w:ascii="Open Sans" w:eastAsia="Times New Roman" w:hAnsi="Open Sans" w:cs="Open Sans"/>
          <w:color w:val="304547"/>
          <w:sz w:val="21"/>
          <w:szCs w:val="21"/>
        </w:rPr>
        <w:t xml:space="preserve"> learned that investors can help communities by:</w:t>
      </w:r>
      <w:r>
        <w:rPr>
          <w:rFonts w:ascii="Open Sans" w:eastAsia="Times New Roman" w:hAnsi="Open Sans" w:cs="Open Sans"/>
          <w:color w:val="304547"/>
          <w:sz w:val="21"/>
          <w:szCs w:val="21"/>
        </w:rPr>
        <w:br/>
      </w:r>
    </w:p>
    <w:p w:rsidR="007F2839" w:rsidRPr="007F2839" w:rsidRDefault="007F2839" w:rsidP="00990D59">
      <w:pPr>
        <w:numPr>
          <w:ilvl w:val="1"/>
          <w:numId w:val="1"/>
        </w:numPr>
        <w:shd w:val="clear" w:color="auto" w:fill="FFFFFF"/>
        <w:spacing w:after="0" w:line="240" w:lineRule="auto"/>
        <w:ind w:left="754"/>
        <w:rPr>
          <w:rFonts w:ascii="Open Sans" w:eastAsia="Times New Roman" w:hAnsi="Open Sans" w:cs="Open Sans"/>
          <w:color w:val="304547"/>
          <w:sz w:val="21"/>
          <w:szCs w:val="21"/>
        </w:rPr>
      </w:pPr>
      <w:r w:rsidRPr="007F2839">
        <w:rPr>
          <w:rFonts w:ascii="Open Sans" w:eastAsia="Times New Roman" w:hAnsi="Open Sans" w:cs="Open Sans"/>
          <w:noProof/>
          <w:color w:val="F47920"/>
          <w:sz w:val="21"/>
          <w:szCs w:val="21"/>
        </w:rPr>
        <w:drawing>
          <wp:anchor distT="0" distB="0" distL="114300" distR="114300" simplePos="0" relativeHeight="251661824" behindDoc="1" locked="0" layoutInCell="1" allowOverlap="1" wp14:anchorId="75323E95" wp14:editId="2397C880">
            <wp:simplePos x="0" y="0"/>
            <wp:positionH relativeFrom="margin">
              <wp:align>right</wp:align>
            </wp:positionH>
            <wp:positionV relativeFrom="paragraph">
              <wp:posOffset>25400</wp:posOffset>
            </wp:positionV>
            <wp:extent cx="2057400" cy="2057400"/>
            <wp:effectExtent l="0" t="0" r="0" b="0"/>
            <wp:wrapTight wrapText="bothSides">
              <wp:wrapPolygon edited="0">
                <wp:start x="0" y="0"/>
                <wp:lineTo x="0" y="21400"/>
                <wp:lineTo x="21400" y="21400"/>
                <wp:lineTo x="21400" y="0"/>
                <wp:lineTo x="0" y="0"/>
              </wp:wrapPolygon>
            </wp:wrapTight>
            <wp:docPr id="2" name="Picture 2" descr="investor impact">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vestor impact">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57400" cy="2057400"/>
                    </a:xfrm>
                    <a:prstGeom prst="rect">
                      <a:avLst/>
                    </a:prstGeom>
                    <a:noFill/>
                    <a:ln>
                      <a:noFill/>
                    </a:ln>
                  </pic:spPr>
                </pic:pic>
              </a:graphicData>
            </a:graphic>
          </wp:anchor>
        </w:drawing>
      </w:r>
      <w:r w:rsidRPr="007F2839">
        <w:rPr>
          <w:rFonts w:ascii="Open Sans" w:eastAsia="Times New Roman" w:hAnsi="Open Sans" w:cs="Open Sans"/>
          <w:b/>
          <w:bCs/>
          <w:color w:val="304547"/>
          <w:sz w:val="21"/>
          <w:szCs w:val="21"/>
        </w:rPr>
        <w:t>Adopting and embracing a different mindset. </w:t>
      </w:r>
      <w:r w:rsidRPr="007F2839">
        <w:rPr>
          <w:rFonts w:ascii="Open Sans" w:eastAsia="Times New Roman" w:hAnsi="Open Sans" w:cs="Open Sans"/>
          <w:color w:val="304547"/>
          <w:sz w:val="21"/>
          <w:szCs w:val="21"/>
        </w:rPr>
        <w:t>Quality collective impact requires investors to roll up their sleeves with partners to identify the ways they can best engage to achieve impact. Engaged investors can lead to a dramatic shift in the way investors operate as a collective impact partner in any community.</w:t>
      </w:r>
      <w:r w:rsidR="00990D59">
        <w:rPr>
          <w:rFonts w:ascii="Open Sans" w:eastAsia="Times New Roman" w:hAnsi="Open Sans" w:cs="Open Sans"/>
          <w:color w:val="304547"/>
          <w:sz w:val="21"/>
          <w:szCs w:val="21"/>
        </w:rPr>
        <w:br/>
      </w:r>
    </w:p>
    <w:p w:rsidR="007F2839" w:rsidRPr="007F2839" w:rsidRDefault="007F2839" w:rsidP="00990D59">
      <w:pPr>
        <w:numPr>
          <w:ilvl w:val="1"/>
          <w:numId w:val="1"/>
        </w:numPr>
        <w:shd w:val="clear" w:color="auto" w:fill="FFFFFF"/>
        <w:spacing w:after="0" w:line="240" w:lineRule="auto"/>
        <w:ind w:left="754"/>
        <w:rPr>
          <w:rFonts w:ascii="Open Sans" w:eastAsia="Times New Roman" w:hAnsi="Open Sans" w:cs="Open Sans"/>
          <w:color w:val="304547"/>
          <w:sz w:val="21"/>
          <w:szCs w:val="21"/>
        </w:rPr>
      </w:pPr>
      <w:r w:rsidRPr="007F2839">
        <w:rPr>
          <w:rFonts w:ascii="Open Sans" w:eastAsia="Times New Roman" w:hAnsi="Open Sans" w:cs="Open Sans"/>
          <w:b/>
          <w:bCs/>
          <w:color w:val="304547"/>
          <w:sz w:val="21"/>
          <w:szCs w:val="21"/>
        </w:rPr>
        <w:t>Building the connective tissue. </w:t>
      </w:r>
      <w:r w:rsidRPr="007F2839">
        <w:rPr>
          <w:rFonts w:ascii="Open Sans" w:eastAsia="Times New Roman" w:hAnsi="Open Sans" w:cs="Open Sans"/>
          <w:color w:val="304547"/>
          <w:sz w:val="21"/>
          <w:szCs w:val="21"/>
        </w:rPr>
        <w:t>Through their networks, investors can help build the cross-sector connections needed to achieve collective impact and build civic infrastructure.</w:t>
      </w:r>
      <w:r w:rsidR="00990D59">
        <w:rPr>
          <w:rFonts w:ascii="Open Sans" w:eastAsia="Times New Roman" w:hAnsi="Open Sans" w:cs="Open Sans"/>
          <w:color w:val="304547"/>
          <w:sz w:val="21"/>
          <w:szCs w:val="21"/>
        </w:rPr>
        <w:br/>
      </w:r>
    </w:p>
    <w:p w:rsidR="007F2839" w:rsidRPr="007F2839" w:rsidRDefault="007F2839" w:rsidP="00990D59">
      <w:pPr>
        <w:numPr>
          <w:ilvl w:val="1"/>
          <w:numId w:val="1"/>
        </w:numPr>
        <w:shd w:val="clear" w:color="auto" w:fill="FFFFFF"/>
        <w:spacing w:after="0" w:line="240" w:lineRule="auto"/>
        <w:ind w:left="754"/>
        <w:rPr>
          <w:rFonts w:ascii="Open Sans" w:eastAsia="Times New Roman" w:hAnsi="Open Sans" w:cs="Open Sans"/>
          <w:color w:val="304547"/>
          <w:sz w:val="21"/>
          <w:szCs w:val="21"/>
        </w:rPr>
      </w:pPr>
      <w:r w:rsidRPr="007F2839">
        <w:rPr>
          <w:rFonts w:ascii="Open Sans" w:eastAsia="Times New Roman" w:hAnsi="Open Sans" w:cs="Open Sans"/>
          <w:b/>
          <w:bCs/>
          <w:color w:val="304547"/>
          <w:sz w:val="21"/>
          <w:szCs w:val="21"/>
        </w:rPr>
        <w:t>Investing in leadership. </w:t>
      </w:r>
      <w:r w:rsidRPr="007F2839">
        <w:rPr>
          <w:rFonts w:ascii="Open Sans" w:eastAsia="Times New Roman" w:hAnsi="Open Sans" w:cs="Open Sans"/>
          <w:color w:val="304547"/>
          <w:sz w:val="21"/>
          <w:szCs w:val="21"/>
        </w:rPr>
        <w:t>Investors experience training leaders within their own organizations can help lift up and support leadership development for those driving collective impact.</w:t>
      </w:r>
    </w:p>
    <w:p w:rsidR="00305963" w:rsidRDefault="00305963" w:rsidP="00990D59">
      <w:pPr>
        <w:tabs>
          <w:tab w:val="left" w:pos="3150"/>
        </w:tabs>
        <w:spacing w:after="0" w:line="240" w:lineRule="auto"/>
        <w:rPr>
          <w:rFonts w:ascii="Calibri" w:eastAsia="Times New Roman" w:hAnsi="Calibri" w:cs="Arial"/>
          <w:color w:val="000000"/>
        </w:rPr>
      </w:pPr>
    </w:p>
    <w:p w:rsidR="00990D59" w:rsidRDefault="00990D59" w:rsidP="00990D59">
      <w:pPr>
        <w:shd w:val="clear" w:color="auto" w:fill="FFFFFF"/>
        <w:spacing w:after="0" w:line="240" w:lineRule="auto"/>
        <w:rPr>
          <w:rFonts w:ascii="Open Sans" w:eastAsia="Times New Roman" w:hAnsi="Open Sans" w:cs="Open Sans"/>
          <w:b/>
          <w:color w:val="304547"/>
          <w:sz w:val="21"/>
          <w:szCs w:val="21"/>
        </w:rPr>
      </w:pPr>
    </w:p>
    <w:p w:rsidR="00990D59" w:rsidRPr="00990D59" w:rsidRDefault="00990D59" w:rsidP="00990D59">
      <w:pPr>
        <w:shd w:val="clear" w:color="auto" w:fill="FFFFFF"/>
        <w:spacing w:after="0" w:line="240" w:lineRule="auto"/>
        <w:rPr>
          <w:rFonts w:ascii="Open Sans" w:eastAsia="Times New Roman" w:hAnsi="Open Sans" w:cs="Open Sans"/>
          <w:b/>
          <w:color w:val="304547"/>
          <w:sz w:val="21"/>
          <w:szCs w:val="21"/>
        </w:rPr>
      </w:pPr>
      <w:r>
        <w:rPr>
          <w:rFonts w:ascii="Open Sans" w:eastAsia="Times New Roman" w:hAnsi="Open Sans" w:cs="Open Sans"/>
          <w:b/>
          <w:color w:val="304547"/>
          <w:sz w:val="21"/>
          <w:szCs w:val="21"/>
        </w:rPr>
        <w:lastRenderedPageBreak/>
        <w:t>Building the Capacity for Impact</w:t>
      </w:r>
    </w:p>
    <w:p w:rsidR="00990D59" w:rsidRDefault="00990D59" w:rsidP="00990D59">
      <w:pPr>
        <w:shd w:val="clear" w:color="auto" w:fill="FFFFFF"/>
        <w:spacing w:after="0" w:line="240" w:lineRule="auto"/>
        <w:rPr>
          <w:rFonts w:ascii="Open Sans" w:eastAsia="Times New Roman" w:hAnsi="Open Sans" w:cs="Open Sans"/>
          <w:color w:val="304547"/>
          <w:sz w:val="21"/>
          <w:szCs w:val="21"/>
        </w:rPr>
      </w:pPr>
      <w:r w:rsidRPr="00990D59">
        <w:rPr>
          <w:rFonts w:ascii="Open Sans" w:eastAsia="Times New Roman" w:hAnsi="Open Sans" w:cs="Open Sans"/>
          <w:color w:val="304547"/>
          <w:sz w:val="21"/>
          <w:szCs w:val="21"/>
        </w:rPr>
        <w:t xml:space="preserve">Sustainable systemic change requires community-wide support, focused on building the partnership’s ability to make that change. To build the required capacity, cradle to career partnerships have employed two strategies: </w:t>
      </w:r>
    </w:p>
    <w:p w:rsidR="00990D59" w:rsidRDefault="00990D59" w:rsidP="00990D59">
      <w:pPr>
        <w:pStyle w:val="ListParagraph"/>
        <w:numPr>
          <w:ilvl w:val="0"/>
          <w:numId w:val="2"/>
        </w:numPr>
        <w:shd w:val="clear" w:color="auto" w:fill="FFFFFF"/>
        <w:spacing w:after="0" w:line="240" w:lineRule="auto"/>
        <w:rPr>
          <w:rFonts w:ascii="Open Sans" w:eastAsia="Times New Roman" w:hAnsi="Open Sans" w:cs="Open Sans"/>
          <w:color w:val="304547"/>
          <w:sz w:val="21"/>
          <w:szCs w:val="21"/>
        </w:rPr>
      </w:pPr>
      <w:r w:rsidRPr="00990D59">
        <w:rPr>
          <w:rFonts w:ascii="Open Sans" w:eastAsia="Times New Roman" w:hAnsi="Open Sans" w:cs="Open Sans"/>
          <w:color w:val="304547"/>
          <w:sz w:val="21"/>
          <w:szCs w:val="21"/>
        </w:rPr>
        <w:t xml:space="preserve">engage investors to secure fiscal donations to support the work; and </w:t>
      </w:r>
    </w:p>
    <w:p w:rsidR="00990D59" w:rsidRPr="00990D59" w:rsidRDefault="00990D59" w:rsidP="00990D59">
      <w:pPr>
        <w:pStyle w:val="ListParagraph"/>
        <w:numPr>
          <w:ilvl w:val="0"/>
          <w:numId w:val="2"/>
        </w:numPr>
        <w:shd w:val="clear" w:color="auto" w:fill="FFFFFF"/>
        <w:spacing w:after="0" w:line="240" w:lineRule="auto"/>
        <w:rPr>
          <w:rFonts w:ascii="Open Sans" w:eastAsia="Times New Roman" w:hAnsi="Open Sans" w:cs="Open Sans"/>
          <w:color w:val="304547"/>
          <w:sz w:val="21"/>
          <w:szCs w:val="21"/>
        </w:rPr>
      </w:pPr>
      <w:r w:rsidRPr="00990D59">
        <w:rPr>
          <w:rFonts w:ascii="Open Sans" w:eastAsia="Times New Roman" w:hAnsi="Open Sans" w:cs="Open Sans"/>
          <w:color w:val="304547"/>
          <w:sz w:val="21"/>
          <w:szCs w:val="21"/>
        </w:rPr>
        <w:t xml:space="preserve">engage partners to secure in-kind donations that support the work by providing resources, services, staff, etc. </w:t>
      </w:r>
    </w:p>
    <w:p w:rsidR="007F2839" w:rsidRPr="00990D59" w:rsidRDefault="00990D59" w:rsidP="00573AD7">
      <w:pPr>
        <w:shd w:val="clear" w:color="auto" w:fill="FFFFFF"/>
        <w:spacing w:after="0" w:line="240" w:lineRule="auto"/>
        <w:rPr>
          <w:rFonts w:ascii="Open Sans" w:eastAsia="Times New Roman" w:hAnsi="Open Sans" w:cs="Open Sans"/>
          <w:color w:val="304547"/>
          <w:sz w:val="21"/>
          <w:szCs w:val="21"/>
        </w:rPr>
      </w:pPr>
      <w:r w:rsidRPr="00990D59">
        <w:rPr>
          <w:rFonts w:ascii="Open Sans" w:eastAsia="Times New Roman" w:hAnsi="Open Sans" w:cs="Open Sans"/>
          <w:color w:val="304547"/>
          <w:sz w:val="21"/>
          <w:szCs w:val="21"/>
        </w:rPr>
        <w:t>Because supports come from different community coffers, it is important for partnerships to quantify and communicate all of the contributions from all partners in the budget, not just the monetary support that passes through the anchor entity.</w:t>
      </w:r>
    </w:p>
    <w:p w:rsidR="00990D59" w:rsidRDefault="00990D59" w:rsidP="00990D59">
      <w:pPr>
        <w:shd w:val="clear" w:color="auto" w:fill="FFFFFF"/>
        <w:spacing w:after="0" w:line="240" w:lineRule="auto"/>
        <w:rPr>
          <w:rFonts w:ascii="Open Sans" w:eastAsia="Times New Roman" w:hAnsi="Open Sans" w:cs="Open Sans"/>
          <w:color w:val="304547"/>
          <w:sz w:val="21"/>
          <w:szCs w:val="21"/>
        </w:rPr>
      </w:pPr>
    </w:p>
    <w:p w:rsidR="00990D59" w:rsidRPr="00990D59" w:rsidRDefault="00990D59" w:rsidP="00990D59">
      <w:pPr>
        <w:shd w:val="clear" w:color="auto" w:fill="FFFFFF"/>
        <w:spacing w:after="0" w:line="240" w:lineRule="auto"/>
        <w:rPr>
          <w:rFonts w:ascii="Open Sans" w:eastAsia="Times New Roman" w:hAnsi="Open Sans" w:cs="Open Sans"/>
          <w:color w:val="304547"/>
          <w:sz w:val="21"/>
          <w:szCs w:val="21"/>
        </w:rPr>
      </w:pPr>
      <w:r w:rsidRPr="00990D59">
        <w:rPr>
          <w:rFonts w:ascii="Open Sans" w:eastAsia="Times New Roman" w:hAnsi="Open Sans" w:cs="Open Sans"/>
          <w:color w:val="304547"/>
          <w:sz w:val="21"/>
          <w:szCs w:val="21"/>
        </w:rPr>
        <w:t xml:space="preserve">In the early stages of building a cradle to career partnership, the work is largely focused on relationship building and partnering; the infrastructure needed to support this new way of approaching education reform is just starting to come together. Various committees of cross-sector partners are being formed to carry-out specific work (like communications or strategic direction) and shared outcomes are being identified that the community will agree to hold itself responsible for improving.  </w:t>
      </w:r>
    </w:p>
    <w:p w:rsidR="00990D59" w:rsidRPr="00990D59" w:rsidRDefault="00990D59" w:rsidP="00990D59">
      <w:pPr>
        <w:shd w:val="clear" w:color="auto" w:fill="FFFFFF"/>
        <w:spacing w:after="0" w:line="240" w:lineRule="auto"/>
        <w:rPr>
          <w:rFonts w:ascii="Open Sans" w:eastAsia="Times New Roman" w:hAnsi="Open Sans" w:cs="Open Sans"/>
          <w:color w:val="304547"/>
          <w:sz w:val="21"/>
          <w:szCs w:val="21"/>
        </w:rPr>
      </w:pPr>
    </w:p>
    <w:p w:rsidR="00990D59" w:rsidRPr="00990D59" w:rsidRDefault="00990D59" w:rsidP="00990D59">
      <w:pPr>
        <w:shd w:val="clear" w:color="auto" w:fill="FFFFFF"/>
        <w:spacing w:after="0" w:line="240" w:lineRule="auto"/>
        <w:rPr>
          <w:rFonts w:ascii="Open Sans" w:eastAsia="Times New Roman" w:hAnsi="Open Sans" w:cs="Open Sans"/>
          <w:color w:val="304547"/>
          <w:sz w:val="21"/>
          <w:szCs w:val="21"/>
        </w:rPr>
      </w:pPr>
      <w:r w:rsidRPr="00990D59">
        <w:rPr>
          <w:rFonts w:ascii="Open Sans" w:eastAsia="Times New Roman" w:hAnsi="Open Sans" w:cs="Open Sans"/>
          <w:color w:val="304547"/>
          <w:sz w:val="21"/>
          <w:szCs w:val="21"/>
        </w:rPr>
        <w:t>Investment doesn’t always have to be in the form of dollars. One of the most important assets a community has is its people and the ability to mobilize them to support practices that move outcomes. Whatever form capacity takes, fiscal or in-kind resources, what is most important is that the capacity is built, sustained and mobilized to have the most impact.</w:t>
      </w:r>
    </w:p>
    <w:p w:rsidR="00990D59" w:rsidRPr="00990D59" w:rsidRDefault="00990D59" w:rsidP="00990D59">
      <w:pPr>
        <w:shd w:val="clear" w:color="auto" w:fill="FFFFFF"/>
        <w:spacing w:after="0" w:line="240" w:lineRule="auto"/>
        <w:rPr>
          <w:rFonts w:ascii="Open Sans" w:eastAsia="Times New Roman" w:hAnsi="Open Sans" w:cs="Open Sans"/>
          <w:color w:val="304547"/>
          <w:sz w:val="21"/>
          <w:szCs w:val="21"/>
        </w:rPr>
      </w:pPr>
    </w:p>
    <w:p w:rsidR="00990D59" w:rsidRDefault="00990D59" w:rsidP="00990D59">
      <w:pPr>
        <w:shd w:val="clear" w:color="auto" w:fill="FFFFFF"/>
        <w:spacing w:after="0" w:line="240" w:lineRule="auto"/>
        <w:rPr>
          <w:rFonts w:ascii="Open Sans" w:eastAsia="Times New Roman" w:hAnsi="Open Sans" w:cs="Open Sans"/>
          <w:color w:val="304547"/>
          <w:sz w:val="21"/>
          <w:szCs w:val="21"/>
        </w:rPr>
      </w:pPr>
      <w:r>
        <w:rPr>
          <w:rFonts w:ascii="Open Sans" w:eastAsia="Times New Roman" w:hAnsi="Open Sans" w:cs="Open Sans"/>
          <w:b/>
          <w:color w:val="304547"/>
          <w:sz w:val="21"/>
          <w:szCs w:val="21"/>
        </w:rPr>
        <w:t>Ecosystem Investing</w:t>
      </w:r>
    </w:p>
    <w:p w:rsidR="00990D59" w:rsidRPr="00990D59" w:rsidRDefault="00573AD7" w:rsidP="00990D59">
      <w:pPr>
        <w:shd w:val="clear" w:color="auto" w:fill="FFFFFF"/>
        <w:spacing w:after="0" w:line="240" w:lineRule="auto"/>
        <w:rPr>
          <w:rFonts w:ascii="Open Sans" w:eastAsia="Times New Roman" w:hAnsi="Open Sans" w:cs="Open Sans"/>
          <w:color w:val="304547"/>
          <w:sz w:val="21"/>
          <w:szCs w:val="21"/>
        </w:rPr>
      </w:pPr>
      <w:r>
        <w:rPr>
          <w:noProof/>
        </w:rPr>
        <w:drawing>
          <wp:anchor distT="0" distB="0" distL="114300" distR="114300" simplePos="0" relativeHeight="251662848" behindDoc="1" locked="0" layoutInCell="1" allowOverlap="1" wp14:anchorId="091CC8E5" wp14:editId="3053BDC1">
            <wp:simplePos x="0" y="0"/>
            <wp:positionH relativeFrom="margin">
              <wp:align>center</wp:align>
            </wp:positionH>
            <wp:positionV relativeFrom="paragraph">
              <wp:posOffset>1061085</wp:posOffset>
            </wp:positionV>
            <wp:extent cx="4171950" cy="2621915"/>
            <wp:effectExtent l="0" t="0" r="0" b="6985"/>
            <wp:wrapTight wrapText="bothSides">
              <wp:wrapPolygon edited="0">
                <wp:start x="0" y="0"/>
                <wp:lineTo x="0" y="21501"/>
                <wp:lineTo x="21501" y="21501"/>
                <wp:lineTo x="21501" y="0"/>
                <wp:lineTo x="0" y="0"/>
              </wp:wrapPolygon>
            </wp:wrapTight>
            <wp:docPr id="5" name="Picture 5" descr="https://ssir.org/images/made/images/ads/program_investing_chart_592_44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ssir.org/images/made/images/ads/program_investing_chart_592_444.png"/>
                    <pic:cNvPicPr>
                      <a:picLocks noChangeAspect="1" noChangeArrowheads="1"/>
                    </pic:cNvPicPr>
                  </pic:nvPicPr>
                  <pic:blipFill rotWithShape="1">
                    <a:blip r:embed="rId12">
                      <a:extLst>
                        <a:ext uri="{28A0092B-C50C-407E-A947-70E740481C1C}">
                          <a14:useLocalDpi xmlns:a14="http://schemas.microsoft.com/office/drawing/2010/main" val="0"/>
                        </a:ext>
                      </a:extLst>
                    </a:blip>
                    <a:srcRect t="5224" b="10945"/>
                    <a:stretch/>
                  </pic:blipFill>
                  <pic:spPr bwMode="auto">
                    <a:xfrm>
                      <a:off x="0" y="0"/>
                      <a:ext cx="4171950" cy="262191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990D59" w:rsidRPr="00990D59">
        <w:rPr>
          <w:rFonts w:ascii="Open Sans" w:eastAsia="Times New Roman" w:hAnsi="Open Sans" w:cs="Open Sans"/>
          <w:color w:val="304547"/>
          <w:sz w:val="21"/>
          <w:szCs w:val="21"/>
        </w:rPr>
        <w:t>One critical insight we’ve gleaned from our work is that funders seeking impact at scale must view their work within the context of a broader ecosystem and adjust their behavior in response to change within that system.</w:t>
      </w:r>
      <w:r>
        <w:rPr>
          <w:rFonts w:ascii="Open Sans" w:eastAsia="Times New Roman" w:hAnsi="Open Sans" w:cs="Open Sans"/>
          <w:color w:val="304547"/>
          <w:sz w:val="21"/>
          <w:szCs w:val="21"/>
        </w:rPr>
        <w:t xml:space="preserve"> </w:t>
      </w:r>
      <w:r w:rsidRPr="00573AD7">
        <w:rPr>
          <w:rFonts w:ascii="Open Sans" w:eastAsia="Times New Roman" w:hAnsi="Open Sans" w:cs="Open Sans"/>
          <w:color w:val="304547"/>
          <w:sz w:val="21"/>
          <w:szCs w:val="21"/>
        </w:rPr>
        <w:t xml:space="preserve">We call this idea </w:t>
      </w:r>
      <w:hyperlink r:id="rId13" w:history="1">
        <w:r w:rsidRPr="00573AD7">
          <w:rPr>
            <w:rStyle w:val="Hyperlink"/>
            <w:rFonts w:ascii="Open Sans" w:eastAsia="Times New Roman" w:hAnsi="Open Sans" w:cs="Open Sans"/>
            <w:sz w:val="21"/>
            <w:szCs w:val="21"/>
          </w:rPr>
          <w:t>ecosystem investing</w:t>
        </w:r>
      </w:hyperlink>
      <w:r w:rsidRPr="00573AD7">
        <w:rPr>
          <w:rFonts w:ascii="Open Sans" w:eastAsia="Times New Roman" w:hAnsi="Open Sans" w:cs="Open Sans"/>
          <w:color w:val="304547"/>
          <w:sz w:val="21"/>
          <w:szCs w:val="21"/>
        </w:rPr>
        <w:t>, and it is inherently more complex, requires a different set of assumptions, and produces different results than tra</w:t>
      </w:r>
      <w:r>
        <w:rPr>
          <w:rFonts w:ascii="Open Sans" w:eastAsia="Times New Roman" w:hAnsi="Open Sans" w:cs="Open Sans"/>
          <w:color w:val="304547"/>
          <w:sz w:val="21"/>
          <w:szCs w:val="21"/>
        </w:rPr>
        <w:t>ditional programmatic investing:</w:t>
      </w:r>
    </w:p>
    <w:p w:rsidR="007F2839" w:rsidRPr="00E16053" w:rsidRDefault="007F2839" w:rsidP="00892891">
      <w:pPr>
        <w:pStyle w:val="NoSpacing"/>
        <w:jc w:val="center"/>
      </w:pPr>
      <w:r>
        <w:rPr>
          <w:b/>
          <w:color w:val="415968"/>
          <w:sz w:val="28"/>
        </w:rPr>
        <w:lastRenderedPageBreak/>
        <w:t xml:space="preserve">Case Study: </w:t>
      </w:r>
      <w:r w:rsidR="00990D59">
        <w:rPr>
          <w:b/>
          <w:color w:val="415968"/>
          <w:sz w:val="28"/>
        </w:rPr>
        <w:t>Funder Collaboration in Cincinnati and Northern Kentucky</w:t>
      </w:r>
    </w:p>
    <w:p w:rsidR="00990D59" w:rsidRPr="00990D59" w:rsidRDefault="00990D59" w:rsidP="00990D59">
      <w:pPr>
        <w:shd w:val="clear" w:color="auto" w:fill="FFFFFF"/>
        <w:spacing w:after="0" w:line="240" w:lineRule="auto"/>
        <w:rPr>
          <w:rFonts w:ascii="Open Sans" w:eastAsia="Times New Roman" w:hAnsi="Open Sans" w:cs="Open Sans"/>
          <w:color w:val="304547"/>
          <w:sz w:val="21"/>
          <w:szCs w:val="21"/>
        </w:rPr>
      </w:pPr>
      <w:r w:rsidRPr="00990D59">
        <w:rPr>
          <w:rFonts w:ascii="Open Sans" w:eastAsia="Times New Roman" w:hAnsi="Open Sans" w:cs="Open Sans"/>
          <w:color w:val="304547"/>
          <w:sz w:val="21"/>
          <w:szCs w:val="21"/>
        </w:rPr>
        <w:t xml:space="preserve">When the StriveTogether network’s first cradle-to-career partnership launched in 2006, the partnership </w:t>
      </w:r>
      <w:r>
        <w:rPr>
          <w:rFonts w:ascii="Open Sans" w:eastAsia="Times New Roman" w:hAnsi="Open Sans" w:cs="Open Sans"/>
          <w:color w:val="304547"/>
          <w:sz w:val="21"/>
          <w:szCs w:val="21"/>
        </w:rPr>
        <w:t>had</w:t>
      </w:r>
      <w:r w:rsidRPr="00990D59">
        <w:rPr>
          <w:rFonts w:ascii="Open Sans" w:eastAsia="Times New Roman" w:hAnsi="Open Sans" w:cs="Open Sans"/>
          <w:color w:val="304547"/>
          <w:sz w:val="21"/>
          <w:szCs w:val="21"/>
        </w:rPr>
        <w:t xml:space="preserve"> the backing of KnowledgeWorks Foundation, a Cincinnati-based national education philanthropy. This was both a blessing and a curse for what came to be known as StrivePartnership. It enabled StrivePartnership to launch with a staff and a fairly sizable operational budget and allowed it to take its time in developing its model for improving education outcomes. </w:t>
      </w:r>
    </w:p>
    <w:p w:rsidR="00990D59" w:rsidRPr="00990D59" w:rsidRDefault="00990D59" w:rsidP="00990D59">
      <w:pPr>
        <w:shd w:val="clear" w:color="auto" w:fill="FFFFFF"/>
        <w:spacing w:after="0" w:line="240" w:lineRule="auto"/>
        <w:rPr>
          <w:rFonts w:ascii="Open Sans" w:eastAsia="Times New Roman" w:hAnsi="Open Sans" w:cs="Open Sans"/>
          <w:color w:val="304547"/>
          <w:sz w:val="21"/>
          <w:szCs w:val="21"/>
        </w:rPr>
      </w:pPr>
    </w:p>
    <w:p w:rsidR="00990D59" w:rsidRPr="00990D59" w:rsidRDefault="00990D59" w:rsidP="00990D59">
      <w:pPr>
        <w:shd w:val="clear" w:color="auto" w:fill="FFFFFF"/>
        <w:spacing w:after="0" w:line="240" w:lineRule="auto"/>
        <w:rPr>
          <w:rFonts w:ascii="Open Sans" w:eastAsia="Times New Roman" w:hAnsi="Open Sans" w:cs="Open Sans"/>
          <w:color w:val="304547"/>
          <w:sz w:val="21"/>
          <w:szCs w:val="21"/>
        </w:rPr>
      </w:pPr>
      <w:r w:rsidRPr="00990D59">
        <w:rPr>
          <w:rFonts w:ascii="Open Sans" w:eastAsia="Times New Roman" w:hAnsi="Open Sans" w:cs="Open Sans"/>
          <w:color w:val="304547"/>
          <w:sz w:val="21"/>
          <w:szCs w:val="21"/>
        </w:rPr>
        <w:t>StrivePartnership also had some early in-kind support with a loaned executive from Procter &amp; Gamble and several loaned staff from the University of Cincinnati. There were other early funding partners, including United Way of Greater Cincinnati, the Greater Cincinnati Foundation and the Procter &amp; Gamble Fund. But with its operations fully funded, there was no incentive for StrivePartnership to do any early fundraising and so it was not until later in the evolution of the partnership that a broader base of funding partners was needed or pursued.</w:t>
      </w:r>
    </w:p>
    <w:p w:rsidR="00990D59" w:rsidRPr="00990D59" w:rsidRDefault="00990D59" w:rsidP="00990D59">
      <w:pPr>
        <w:shd w:val="clear" w:color="auto" w:fill="FFFFFF"/>
        <w:spacing w:after="0" w:line="240" w:lineRule="auto"/>
        <w:rPr>
          <w:rFonts w:ascii="Open Sans" w:eastAsia="Times New Roman" w:hAnsi="Open Sans" w:cs="Open Sans"/>
          <w:color w:val="304547"/>
          <w:sz w:val="21"/>
          <w:szCs w:val="21"/>
        </w:rPr>
      </w:pPr>
    </w:p>
    <w:p w:rsidR="00990D59" w:rsidRPr="00990D59" w:rsidRDefault="00990D59" w:rsidP="00990D59">
      <w:pPr>
        <w:shd w:val="clear" w:color="auto" w:fill="FFFFFF"/>
        <w:spacing w:after="0" w:line="240" w:lineRule="auto"/>
        <w:rPr>
          <w:rFonts w:ascii="Open Sans" w:eastAsia="Times New Roman" w:hAnsi="Open Sans" w:cs="Open Sans"/>
          <w:color w:val="304547"/>
          <w:sz w:val="21"/>
          <w:szCs w:val="21"/>
        </w:rPr>
      </w:pPr>
      <w:r w:rsidRPr="00990D59">
        <w:rPr>
          <w:rFonts w:ascii="Open Sans" w:eastAsia="Times New Roman" w:hAnsi="Open Sans" w:cs="Open Sans"/>
          <w:color w:val="304547"/>
          <w:sz w:val="21"/>
          <w:szCs w:val="21"/>
        </w:rPr>
        <w:t>Several early funding partners were active members of StrivePartnership’s leadership team and were interested in the organization’s idea of aligning funders around common measures:</w:t>
      </w:r>
    </w:p>
    <w:p w:rsidR="00990D59" w:rsidRPr="00990D59" w:rsidRDefault="00990D59" w:rsidP="00990D59">
      <w:pPr>
        <w:shd w:val="clear" w:color="auto" w:fill="FFFFFF"/>
        <w:spacing w:after="0" w:line="240" w:lineRule="auto"/>
        <w:rPr>
          <w:rFonts w:ascii="Open Sans" w:eastAsia="Times New Roman" w:hAnsi="Open Sans" w:cs="Open Sans"/>
          <w:color w:val="304547"/>
          <w:sz w:val="21"/>
          <w:szCs w:val="21"/>
        </w:rPr>
      </w:pPr>
    </w:p>
    <w:p w:rsidR="00990D59" w:rsidRPr="00990D59" w:rsidRDefault="00990D59" w:rsidP="00990D59">
      <w:pPr>
        <w:pStyle w:val="ListParagraph"/>
        <w:numPr>
          <w:ilvl w:val="0"/>
          <w:numId w:val="4"/>
        </w:numPr>
        <w:shd w:val="clear" w:color="auto" w:fill="FFFFFF"/>
        <w:spacing w:after="0" w:line="240" w:lineRule="auto"/>
        <w:rPr>
          <w:rFonts w:ascii="Open Sans" w:eastAsia="Times New Roman" w:hAnsi="Open Sans" w:cs="Open Sans"/>
          <w:color w:val="304547"/>
          <w:sz w:val="21"/>
          <w:szCs w:val="21"/>
        </w:rPr>
      </w:pPr>
      <w:r w:rsidRPr="00990D59">
        <w:rPr>
          <w:rFonts w:ascii="Open Sans" w:eastAsia="Times New Roman" w:hAnsi="Open Sans" w:cs="Open Sans"/>
          <w:color w:val="304547"/>
          <w:sz w:val="21"/>
          <w:szCs w:val="21"/>
        </w:rPr>
        <w:t>United Way, with the launch of its Community Impact Agenda, already had made changes to its funding methodology, organizing around some key focus areas and requiring agencies to demonstrate impact through program evaluation.</w:t>
      </w:r>
    </w:p>
    <w:p w:rsidR="00990D59" w:rsidRPr="00990D59" w:rsidRDefault="00990D59" w:rsidP="00990D59">
      <w:pPr>
        <w:pStyle w:val="ListParagraph"/>
        <w:numPr>
          <w:ilvl w:val="0"/>
          <w:numId w:val="4"/>
        </w:numPr>
        <w:shd w:val="clear" w:color="auto" w:fill="FFFFFF"/>
        <w:spacing w:after="0" w:line="240" w:lineRule="auto"/>
        <w:rPr>
          <w:rFonts w:ascii="Open Sans" w:eastAsia="Times New Roman" w:hAnsi="Open Sans" w:cs="Open Sans"/>
          <w:color w:val="304547"/>
          <w:sz w:val="21"/>
          <w:szCs w:val="21"/>
        </w:rPr>
      </w:pPr>
      <w:r w:rsidRPr="00990D59">
        <w:rPr>
          <w:rFonts w:ascii="Open Sans" w:eastAsia="Times New Roman" w:hAnsi="Open Sans" w:cs="Open Sans"/>
          <w:color w:val="304547"/>
          <w:sz w:val="21"/>
          <w:szCs w:val="21"/>
        </w:rPr>
        <w:t>The Procter &amp; Gamble Fund had limited staff and received hundreds of prop</w:t>
      </w:r>
      <w:bookmarkStart w:id="0" w:name="_GoBack"/>
      <w:bookmarkEnd w:id="0"/>
      <w:r w:rsidRPr="00990D59">
        <w:rPr>
          <w:rFonts w:ascii="Open Sans" w:eastAsia="Times New Roman" w:hAnsi="Open Sans" w:cs="Open Sans"/>
          <w:color w:val="304547"/>
          <w:sz w:val="21"/>
          <w:szCs w:val="21"/>
        </w:rPr>
        <w:t xml:space="preserve">osals for education reform efforts annually. Many of these proposals were duplicative and not grounded in data. The </w:t>
      </w:r>
      <w:proofErr w:type="spellStart"/>
      <w:r w:rsidRPr="00990D59">
        <w:rPr>
          <w:rFonts w:ascii="Open Sans" w:eastAsia="Times New Roman" w:hAnsi="Open Sans" w:cs="Open Sans"/>
          <w:color w:val="304547"/>
          <w:sz w:val="21"/>
          <w:szCs w:val="21"/>
        </w:rPr>
        <w:t>P&amp;G</w:t>
      </w:r>
      <w:proofErr w:type="spellEnd"/>
      <w:r w:rsidRPr="00990D59">
        <w:rPr>
          <w:rFonts w:ascii="Open Sans" w:eastAsia="Times New Roman" w:hAnsi="Open Sans" w:cs="Open Sans"/>
          <w:color w:val="304547"/>
          <w:sz w:val="21"/>
          <w:szCs w:val="21"/>
        </w:rPr>
        <w:t xml:space="preserve"> Fund was looking for more effective and efficient methods for making funding decisions.</w:t>
      </w:r>
    </w:p>
    <w:p w:rsidR="00990D59" w:rsidRPr="00990D59" w:rsidRDefault="00990D59" w:rsidP="00990D59">
      <w:pPr>
        <w:pStyle w:val="ListParagraph"/>
        <w:numPr>
          <w:ilvl w:val="0"/>
          <w:numId w:val="4"/>
        </w:numPr>
        <w:shd w:val="clear" w:color="auto" w:fill="FFFFFF"/>
        <w:spacing w:after="0" w:line="240" w:lineRule="auto"/>
        <w:rPr>
          <w:rFonts w:ascii="Open Sans" w:eastAsia="Times New Roman" w:hAnsi="Open Sans" w:cs="Open Sans"/>
          <w:color w:val="304547"/>
          <w:sz w:val="21"/>
          <w:szCs w:val="21"/>
        </w:rPr>
      </w:pPr>
      <w:r w:rsidRPr="00990D59">
        <w:rPr>
          <w:rFonts w:ascii="Open Sans" w:eastAsia="Times New Roman" w:hAnsi="Open Sans" w:cs="Open Sans"/>
          <w:color w:val="304547"/>
          <w:sz w:val="21"/>
          <w:szCs w:val="21"/>
        </w:rPr>
        <w:t>The Greater Cincinnati Foundation, likewise, had invested a significant amount in education initiatives, but was not seeing the return on investment it would have liked.</w:t>
      </w:r>
    </w:p>
    <w:p w:rsidR="00990D59" w:rsidRPr="00990D59" w:rsidRDefault="00990D59" w:rsidP="00990D59">
      <w:pPr>
        <w:pStyle w:val="ListParagraph"/>
        <w:numPr>
          <w:ilvl w:val="0"/>
          <w:numId w:val="4"/>
        </w:numPr>
        <w:shd w:val="clear" w:color="auto" w:fill="FFFFFF"/>
        <w:spacing w:after="0" w:line="240" w:lineRule="auto"/>
        <w:rPr>
          <w:rFonts w:ascii="Open Sans" w:eastAsia="Times New Roman" w:hAnsi="Open Sans" w:cs="Open Sans"/>
          <w:color w:val="304547"/>
          <w:sz w:val="21"/>
          <w:szCs w:val="21"/>
        </w:rPr>
      </w:pPr>
      <w:r w:rsidRPr="00990D59">
        <w:rPr>
          <w:rFonts w:ascii="Open Sans" w:eastAsia="Times New Roman" w:hAnsi="Open Sans" w:cs="Open Sans"/>
          <w:color w:val="304547"/>
          <w:sz w:val="21"/>
          <w:szCs w:val="21"/>
        </w:rPr>
        <w:t>The Carol Ann and Ralph V. Haile, Jr./U.S. Bank Foundation, a new independent family foundation, was interested in education issues and willing to take risks.</w:t>
      </w:r>
    </w:p>
    <w:p w:rsidR="00990D59" w:rsidRPr="00990D59" w:rsidRDefault="00990D59" w:rsidP="00990D59">
      <w:pPr>
        <w:shd w:val="clear" w:color="auto" w:fill="FFFFFF"/>
        <w:spacing w:after="0" w:line="240" w:lineRule="auto"/>
        <w:rPr>
          <w:rFonts w:ascii="Open Sans" w:eastAsia="Times New Roman" w:hAnsi="Open Sans" w:cs="Open Sans"/>
          <w:color w:val="304547"/>
          <w:sz w:val="21"/>
          <w:szCs w:val="21"/>
        </w:rPr>
      </w:pPr>
    </w:p>
    <w:p w:rsidR="007F2839" w:rsidRDefault="00990D59" w:rsidP="00990D59">
      <w:pPr>
        <w:shd w:val="clear" w:color="auto" w:fill="FFFFFF"/>
        <w:spacing w:after="0" w:line="240" w:lineRule="auto"/>
        <w:rPr>
          <w:rFonts w:ascii="Open Sans" w:eastAsia="Times New Roman" w:hAnsi="Open Sans" w:cs="Open Sans"/>
          <w:color w:val="304547"/>
          <w:sz w:val="21"/>
          <w:szCs w:val="21"/>
        </w:rPr>
      </w:pPr>
      <w:r w:rsidRPr="00990D59">
        <w:rPr>
          <w:rFonts w:ascii="Open Sans" w:eastAsia="Times New Roman" w:hAnsi="Open Sans" w:cs="Open Sans"/>
          <w:color w:val="304547"/>
          <w:sz w:val="21"/>
          <w:szCs w:val="21"/>
        </w:rPr>
        <w:t xml:space="preserve">Each of these partners decided early to align their education funding decisions with </w:t>
      </w:r>
      <w:r>
        <w:rPr>
          <w:rFonts w:ascii="Open Sans" w:eastAsia="Times New Roman" w:hAnsi="Open Sans" w:cs="Open Sans"/>
          <w:color w:val="304547"/>
          <w:sz w:val="21"/>
          <w:szCs w:val="21"/>
        </w:rPr>
        <w:t>StrivePartnership’s</w:t>
      </w:r>
      <w:r w:rsidRPr="00990D59">
        <w:rPr>
          <w:rFonts w:ascii="Open Sans" w:eastAsia="Times New Roman" w:hAnsi="Open Sans" w:cs="Open Sans"/>
          <w:color w:val="304547"/>
          <w:sz w:val="21"/>
          <w:szCs w:val="21"/>
        </w:rPr>
        <w:t xml:space="preserve"> endorsement of evidence-based action plans that embraced continuous improvement practices.</w:t>
      </w:r>
      <w:r>
        <w:rPr>
          <w:rFonts w:ascii="Open Sans" w:eastAsia="Times New Roman" w:hAnsi="Open Sans" w:cs="Open Sans"/>
          <w:color w:val="304547"/>
          <w:sz w:val="21"/>
          <w:szCs w:val="21"/>
        </w:rPr>
        <w:t xml:space="preserve"> Gaining the support of additional funders required </w:t>
      </w:r>
      <w:r w:rsidRPr="00990D59">
        <w:rPr>
          <w:rFonts w:ascii="Open Sans" w:eastAsia="Times New Roman" w:hAnsi="Open Sans" w:cs="Open Sans"/>
          <w:color w:val="304547"/>
          <w:sz w:val="21"/>
          <w:szCs w:val="21"/>
        </w:rPr>
        <w:t>diplomacy, appreciation for what they have done and a persistent effort at informing them of what the data demonstrates about continuous improvement.</w:t>
      </w:r>
    </w:p>
    <w:p w:rsidR="00990D59" w:rsidRDefault="00990D59" w:rsidP="00990D59">
      <w:pPr>
        <w:shd w:val="clear" w:color="auto" w:fill="FFFFFF"/>
        <w:spacing w:after="0" w:line="240" w:lineRule="auto"/>
        <w:rPr>
          <w:rFonts w:ascii="Open Sans" w:eastAsia="Times New Roman" w:hAnsi="Open Sans" w:cs="Open Sans"/>
          <w:color w:val="304547"/>
          <w:sz w:val="21"/>
          <w:szCs w:val="21"/>
        </w:rPr>
      </w:pPr>
    </w:p>
    <w:p w:rsidR="00990D59" w:rsidRDefault="00990D59" w:rsidP="00990D59">
      <w:pPr>
        <w:shd w:val="clear" w:color="auto" w:fill="FFFFFF"/>
        <w:spacing w:after="0" w:line="240" w:lineRule="auto"/>
        <w:rPr>
          <w:rFonts w:ascii="Open Sans" w:eastAsia="Times New Roman" w:hAnsi="Open Sans" w:cs="Open Sans"/>
          <w:color w:val="304547"/>
          <w:sz w:val="21"/>
          <w:szCs w:val="21"/>
        </w:rPr>
      </w:pPr>
      <w:r>
        <w:rPr>
          <w:rFonts w:ascii="Open Sans" w:eastAsia="Times New Roman" w:hAnsi="Open Sans" w:cs="Open Sans"/>
          <w:color w:val="304547"/>
          <w:sz w:val="21"/>
          <w:szCs w:val="21"/>
        </w:rPr>
        <w:t>Over time, many local funders agreed to use StrivePartnership</w:t>
      </w:r>
      <w:r w:rsidR="00573AD7">
        <w:rPr>
          <w:rFonts w:ascii="Open Sans" w:eastAsia="Times New Roman" w:hAnsi="Open Sans" w:cs="Open Sans"/>
          <w:color w:val="304547"/>
          <w:sz w:val="21"/>
          <w:szCs w:val="21"/>
        </w:rPr>
        <w:t xml:space="preserve"> as a lens for their funding decisions, but some criticized the partnership for limiting the scope of philanthropic funding in education (i.e. if all funders aligned with StrivePartnership, there would be no funding available for other strategies outside of StrivePartnership’s scope). </w:t>
      </w:r>
    </w:p>
    <w:p w:rsidR="00573AD7" w:rsidRDefault="00573AD7" w:rsidP="00990D59">
      <w:pPr>
        <w:shd w:val="clear" w:color="auto" w:fill="FFFFFF"/>
        <w:spacing w:after="0" w:line="240" w:lineRule="auto"/>
        <w:rPr>
          <w:rFonts w:ascii="Open Sans" w:eastAsia="Times New Roman" w:hAnsi="Open Sans" w:cs="Open Sans"/>
          <w:color w:val="304547"/>
          <w:sz w:val="21"/>
          <w:szCs w:val="21"/>
        </w:rPr>
      </w:pPr>
    </w:p>
    <w:p w:rsidR="00573AD7" w:rsidRDefault="00573AD7" w:rsidP="00990D59">
      <w:pPr>
        <w:shd w:val="clear" w:color="auto" w:fill="FFFFFF"/>
        <w:spacing w:after="0" w:line="240" w:lineRule="auto"/>
        <w:rPr>
          <w:rFonts w:ascii="Open Sans" w:eastAsia="Times New Roman" w:hAnsi="Open Sans" w:cs="Open Sans"/>
          <w:color w:val="304547"/>
          <w:sz w:val="21"/>
          <w:szCs w:val="21"/>
        </w:rPr>
      </w:pPr>
      <w:r w:rsidRPr="00573AD7">
        <w:rPr>
          <w:rFonts w:ascii="Open Sans" w:eastAsia="Times New Roman" w:hAnsi="Open Sans" w:cs="Open Sans"/>
          <w:color w:val="304547"/>
          <w:sz w:val="21"/>
          <w:szCs w:val="21"/>
        </w:rPr>
        <w:t xml:space="preserve">In 2008, </w:t>
      </w:r>
      <w:r>
        <w:rPr>
          <w:rFonts w:ascii="Open Sans" w:eastAsia="Times New Roman" w:hAnsi="Open Sans" w:cs="Open Sans"/>
          <w:color w:val="304547"/>
          <w:sz w:val="21"/>
          <w:szCs w:val="21"/>
        </w:rPr>
        <w:t>StrivePartnership</w:t>
      </w:r>
      <w:r w:rsidRPr="00573AD7">
        <w:rPr>
          <w:rFonts w:ascii="Open Sans" w:eastAsia="Times New Roman" w:hAnsi="Open Sans" w:cs="Open Sans"/>
          <w:color w:val="304547"/>
          <w:sz w:val="21"/>
          <w:szCs w:val="21"/>
        </w:rPr>
        <w:t xml:space="preserve"> convened a small advisory group of funders comprised of the early adopters and a few others who had not yet committed to the model but had demonstrated interest. This group suggested the crea</w:t>
      </w:r>
      <w:r>
        <w:rPr>
          <w:rFonts w:ascii="Open Sans" w:eastAsia="Times New Roman" w:hAnsi="Open Sans" w:cs="Open Sans"/>
          <w:color w:val="304547"/>
          <w:sz w:val="21"/>
          <w:szCs w:val="21"/>
        </w:rPr>
        <w:t>tion of a Funders Working Group, which led to greater awareness but minimal results in changed funding behavior.</w:t>
      </w:r>
    </w:p>
    <w:p w:rsidR="00573AD7" w:rsidRDefault="00573AD7" w:rsidP="00990D59">
      <w:pPr>
        <w:shd w:val="clear" w:color="auto" w:fill="FFFFFF"/>
        <w:spacing w:after="0" w:line="240" w:lineRule="auto"/>
        <w:rPr>
          <w:rFonts w:ascii="Open Sans" w:eastAsia="Times New Roman" w:hAnsi="Open Sans" w:cs="Open Sans"/>
          <w:color w:val="304547"/>
          <w:sz w:val="21"/>
          <w:szCs w:val="21"/>
        </w:rPr>
      </w:pPr>
      <w:r>
        <w:rPr>
          <w:rFonts w:ascii="Open Sans" w:eastAsia="Times New Roman" w:hAnsi="Open Sans" w:cs="Open Sans"/>
          <w:color w:val="304547"/>
          <w:sz w:val="21"/>
          <w:szCs w:val="21"/>
        </w:rPr>
        <w:lastRenderedPageBreak/>
        <w:t>In 2009, StrivePartnership attempted to launch</w:t>
      </w:r>
      <w:r w:rsidRPr="00573AD7">
        <w:t xml:space="preserve"> </w:t>
      </w:r>
      <w:r w:rsidRPr="00573AD7">
        <w:rPr>
          <w:rFonts w:ascii="Open Sans" w:eastAsia="Times New Roman" w:hAnsi="Open Sans" w:cs="Open Sans"/>
          <w:color w:val="304547"/>
          <w:sz w:val="21"/>
          <w:szCs w:val="21"/>
        </w:rPr>
        <w:t>a more traditional fundraising campaign</w:t>
      </w:r>
      <w:r>
        <w:rPr>
          <w:rFonts w:ascii="Open Sans" w:eastAsia="Times New Roman" w:hAnsi="Open Sans" w:cs="Open Sans"/>
          <w:color w:val="304547"/>
          <w:sz w:val="21"/>
          <w:szCs w:val="21"/>
        </w:rPr>
        <w:t xml:space="preserve">, in partnership with the Greater Cincinnati Foundation. Investors were not comfortable donating to a pooled fund without clear priorities and outcomes. </w:t>
      </w:r>
      <w:r w:rsidRPr="00573AD7">
        <w:rPr>
          <w:rFonts w:ascii="Open Sans" w:eastAsia="Times New Roman" w:hAnsi="Open Sans" w:cs="Open Sans"/>
          <w:color w:val="304547"/>
          <w:sz w:val="21"/>
          <w:szCs w:val="21"/>
        </w:rPr>
        <w:t xml:space="preserve">This feedback pushed </w:t>
      </w:r>
      <w:r>
        <w:rPr>
          <w:rFonts w:ascii="Open Sans" w:eastAsia="Times New Roman" w:hAnsi="Open Sans" w:cs="Open Sans"/>
          <w:color w:val="304547"/>
          <w:sz w:val="21"/>
          <w:szCs w:val="21"/>
        </w:rPr>
        <w:t>StrivePartnership</w:t>
      </w:r>
      <w:r w:rsidRPr="00573AD7">
        <w:rPr>
          <w:rFonts w:ascii="Open Sans" w:eastAsia="Times New Roman" w:hAnsi="Open Sans" w:cs="Open Sans"/>
          <w:color w:val="304547"/>
          <w:sz w:val="21"/>
          <w:szCs w:val="21"/>
        </w:rPr>
        <w:t xml:space="preserve"> to engage in comprehensive strategic planning, to narrow its focus and to more clearly link strategies to the outcomes of StrivePar</w:t>
      </w:r>
      <w:r>
        <w:rPr>
          <w:rFonts w:ascii="Open Sans" w:eastAsia="Times New Roman" w:hAnsi="Open Sans" w:cs="Open Sans"/>
          <w:color w:val="304547"/>
          <w:sz w:val="21"/>
          <w:szCs w:val="21"/>
        </w:rPr>
        <w:t>t</w:t>
      </w:r>
      <w:r w:rsidRPr="00573AD7">
        <w:rPr>
          <w:rFonts w:ascii="Open Sans" w:eastAsia="Times New Roman" w:hAnsi="Open Sans" w:cs="Open Sans"/>
          <w:color w:val="304547"/>
          <w:sz w:val="21"/>
          <w:szCs w:val="21"/>
        </w:rPr>
        <w:t>nership’s annual report card.</w:t>
      </w:r>
      <w:r>
        <w:rPr>
          <w:rFonts w:ascii="Open Sans" w:eastAsia="Times New Roman" w:hAnsi="Open Sans" w:cs="Open Sans"/>
          <w:color w:val="304547"/>
          <w:sz w:val="21"/>
          <w:szCs w:val="21"/>
        </w:rPr>
        <w:t xml:space="preserve"> The partnership developed white papers on specific priorities where strong data-based evidence existed and targeted funders with specific interest in these areas to raise grant funding for specific Collaborative Action Networks. </w:t>
      </w:r>
    </w:p>
    <w:p w:rsidR="00573AD7" w:rsidRDefault="00573AD7" w:rsidP="00990D59">
      <w:pPr>
        <w:shd w:val="clear" w:color="auto" w:fill="FFFFFF"/>
        <w:spacing w:after="0" w:line="240" w:lineRule="auto"/>
        <w:rPr>
          <w:rFonts w:ascii="Open Sans" w:eastAsia="Times New Roman" w:hAnsi="Open Sans" w:cs="Open Sans"/>
          <w:color w:val="304547"/>
          <w:sz w:val="21"/>
          <w:szCs w:val="21"/>
        </w:rPr>
      </w:pPr>
    </w:p>
    <w:p w:rsidR="00573AD7" w:rsidRDefault="00892891" w:rsidP="00990D59">
      <w:pPr>
        <w:shd w:val="clear" w:color="auto" w:fill="FFFFFF"/>
        <w:spacing w:after="0" w:line="240" w:lineRule="auto"/>
        <w:rPr>
          <w:rFonts w:ascii="Open Sans" w:eastAsia="Times New Roman" w:hAnsi="Open Sans" w:cs="Open Sans"/>
          <w:color w:val="304547"/>
          <w:sz w:val="21"/>
          <w:szCs w:val="21"/>
        </w:rPr>
      </w:pPr>
      <w:r>
        <w:rPr>
          <w:rFonts w:ascii="Open Sans" w:eastAsia="Times New Roman" w:hAnsi="Open Sans" w:cs="Open Sans"/>
          <w:color w:val="304547"/>
          <w:sz w:val="21"/>
          <w:szCs w:val="21"/>
        </w:rPr>
        <w:t xml:space="preserve">Around the same time, </w:t>
      </w:r>
      <w:r w:rsidRPr="00892891">
        <w:rPr>
          <w:rFonts w:ascii="Open Sans" w:eastAsia="Times New Roman" w:hAnsi="Open Sans" w:cs="Open Sans"/>
          <w:color w:val="304547"/>
          <w:sz w:val="21"/>
          <w:szCs w:val="21"/>
        </w:rPr>
        <w:t>the Edward M. Kennedy Serve America Act was signed into law, establishing a $50 million federal Social Innovation Fund</w:t>
      </w:r>
      <w:r>
        <w:rPr>
          <w:rFonts w:ascii="Open Sans" w:eastAsia="Times New Roman" w:hAnsi="Open Sans" w:cs="Open Sans"/>
          <w:color w:val="304547"/>
          <w:sz w:val="21"/>
          <w:szCs w:val="21"/>
        </w:rPr>
        <w:t xml:space="preserve">. </w:t>
      </w:r>
      <w:r w:rsidRPr="00892891">
        <w:rPr>
          <w:rFonts w:ascii="Open Sans" w:eastAsia="Times New Roman" w:hAnsi="Open Sans" w:cs="Open Sans"/>
          <w:color w:val="304547"/>
          <w:sz w:val="21"/>
          <w:szCs w:val="21"/>
        </w:rPr>
        <w:t>Strive</w:t>
      </w:r>
      <w:r>
        <w:rPr>
          <w:rFonts w:ascii="Open Sans" w:eastAsia="Times New Roman" w:hAnsi="Open Sans" w:cs="Open Sans"/>
          <w:color w:val="304547"/>
          <w:sz w:val="21"/>
          <w:szCs w:val="21"/>
        </w:rPr>
        <w:t>Partnership</w:t>
      </w:r>
      <w:r w:rsidRPr="00892891">
        <w:rPr>
          <w:rFonts w:ascii="Open Sans" w:eastAsia="Times New Roman" w:hAnsi="Open Sans" w:cs="Open Sans"/>
          <w:color w:val="304547"/>
          <w:sz w:val="21"/>
          <w:szCs w:val="21"/>
        </w:rPr>
        <w:t xml:space="preserve"> and the United Way of Cincinnati partnered on an application and their request for a two­ year, $2-million grant was approved.</w:t>
      </w:r>
      <w:r>
        <w:rPr>
          <w:rFonts w:ascii="Open Sans" w:eastAsia="Times New Roman" w:hAnsi="Open Sans" w:cs="Open Sans"/>
          <w:color w:val="304547"/>
          <w:sz w:val="21"/>
          <w:szCs w:val="21"/>
        </w:rPr>
        <w:t xml:space="preserve"> </w:t>
      </w:r>
      <w:r w:rsidRPr="00892891">
        <w:rPr>
          <w:rFonts w:ascii="Open Sans" w:eastAsia="Times New Roman" w:hAnsi="Open Sans" w:cs="Open Sans"/>
          <w:color w:val="304547"/>
          <w:sz w:val="21"/>
          <w:szCs w:val="21"/>
        </w:rPr>
        <w:t xml:space="preserve">The grant required a 1-1 match with local funds and this time around, </w:t>
      </w:r>
      <w:r>
        <w:rPr>
          <w:rFonts w:ascii="Open Sans" w:eastAsia="Times New Roman" w:hAnsi="Open Sans" w:cs="Open Sans"/>
          <w:color w:val="304547"/>
          <w:sz w:val="21"/>
          <w:szCs w:val="21"/>
        </w:rPr>
        <w:t>StrivePartnership</w:t>
      </w:r>
      <w:r w:rsidRPr="00892891">
        <w:rPr>
          <w:rFonts w:ascii="Open Sans" w:eastAsia="Times New Roman" w:hAnsi="Open Sans" w:cs="Open Sans"/>
          <w:color w:val="304547"/>
          <w:sz w:val="21"/>
          <w:szCs w:val="21"/>
        </w:rPr>
        <w:t xml:space="preserve"> had much more success in recruiting partners for the pooled fund.</w:t>
      </w:r>
      <w:r w:rsidRPr="00892891">
        <w:t xml:space="preserve"> </w:t>
      </w:r>
      <w:r w:rsidRPr="00892891">
        <w:rPr>
          <w:rFonts w:ascii="Open Sans" w:eastAsia="Times New Roman" w:hAnsi="Open Sans" w:cs="Open Sans"/>
          <w:color w:val="304547"/>
          <w:sz w:val="21"/>
          <w:szCs w:val="21"/>
        </w:rPr>
        <w:t>By contributing to the pool of funding, the funders did not lose their decision-making authority or autonomy. Rather, the funders who contributed at least $25,000 were invited to participate as part of the SIF Oversight Committee, which made decisions about the application process and reviewed and made decisions on applications.</w:t>
      </w:r>
      <w:r>
        <w:rPr>
          <w:rFonts w:ascii="Open Sans" w:eastAsia="Times New Roman" w:hAnsi="Open Sans" w:cs="Open Sans"/>
          <w:color w:val="304547"/>
          <w:sz w:val="21"/>
          <w:szCs w:val="21"/>
        </w:rPr>
        <w:t xml:space="preserve"> </w:t>
      </w:r>
      <w:r w:rsidRPr="00892891">
        <w:rPr>
          <w:rFonts w:ascii="Open Sans" w:eastAsia="Times New Roman" w:hAnsi="Open Sans" w:cs="Open Sans"/>
          <w:color w:val="304547"/>
          <w:sz w:val="21"/>
          <w:szCs w:val="21"/>
        </w:rPr>
        <w:t>The Cincinnati/Northern Kentucky SIF program therefore was structured around a few very specific outcome areas:  kindergarten readiness, fourth-grade reading, high school graduation and college preparedness, postsecondary enrollment and completion, and sustained employment.  Applicants had to demonstrate effective community solutions that improve outcomes in one or more of those areas.</w:t>
      </w:r>
    </w:p>
    <w:p w:rsidR="00892891" w:rsidRDefault="00892891" w:rsidP="00990D59">
      <w:pPr>
        <w:shd w:val="clear" w:color="auto" w:fill="FFFFFF"/>
        <w:spacing w:after="0" w:line="240" w:lineRule="auto"/>
        <w:rPr>
          <w:rFonts w:ascii="Open Sans" w:eastAsia="Times New Roman" w:hAnsi="Open Sans" w:cs="Open Sans"/>
          <w:color w:val="304547"/>
          <w:sz w:val="21"/>
          <w:szCs w:val="21"/>
        </w:rPr>
      </w:pPr>
    </w:p>
    <w:p w:rsidR="00892891" w:rsidRDefault="00892891" w:rsidP="00990D59">
      <w:pPr>
        <w:shd w:val="clear" w:color="auto" w:fill="FFFFFF"/>
        <w:spacing w:after="0" w:line="240" w:lineRule="auto"/>
        <w:rPr>
          <w:rFonts w:ascii="Open Sans" w:eastAsia="Times New Roman" w:hAnsi="Open Sans" w:cs="Open Sans"/>
          <w:color w:val="304547"/>
          <w:sz w:val="21"/>
          <w:szCs w:val="21"/>
        </w:rPr>
      </w:pPr>
      <w:r>
        <w:rPr>
          <w:rFonts w:ascii="Open Sans" w:eastAsia="Times New Roman" w:hAnsi="Open Sans" w:cs="Open Sans"/>
          <w:b/>
          <w:color w:val="304547"/>
          <w:sz w:val="21"/>
          <w:szCs w:val="21"/>
        </w:rPr>
        <w:t>Lessons Learned:</w:t>
      </w:r>
    </w:p>
    <w:p w:rsidR="00892891" w:rsidRDefault="00892891" w:rsidP="00892891">
      <w:pPr>
        <w:pStyle w:val="ListParagraph"/>
        <w:numPr>
          <w:ilvl w:val="0"/>
          <w:numId w:val="6"/>
        </w:numPr>
        <w:shd w:val="clear" w:color="auto" w:fill="FFFFFF"/>
        <w:spacing w:after="0" w:line="240" w:lineRule="auto"/>
        <w:rPr>
          <w:rFonts w:ascii="Open Sans" w:eastAsia="Times New Roman" w:hAnsi="Open Sans" w:cs="Open Sans"/>
          <w:color w:val="304547"/>
          <w:sz w:val="21"/>
          <w:szCs w:val="21"/>
        </w:rPr>
      </w:pPr>
      <w:r w:rsidRPr="00892891">
        <w:rPr>
          <w:rFonts w:ascii="Open Sans" w:eastAsia="Times New Roman" w:hAnsi="Open Sans" w:cs="Open Sans"/>
          <w:color w:val="304547"/>
          <w:sz w:val="21"/>
          <w:szCs w:val="21"/>
        </w:rPr>
        <w:t>Seek out Innovators and Early Adopters as the first funders to engage in the work, as well as loaned executives and in-kind resources to get you started</w:t>
      </w:r>
      <w:r>
        <w:rPr>
          <w:rFonts w:ascii="Open Sans" w:eastAsia="Times New Roman" w:hAnsi="Open Sans" w:cs="Open Sans"/>
          <w:color w:val="304547"/>
          <w:sz w:val="21"/>
          <w:szCs w:val="21"/>
        </w:rPr>
        <w:t>.</w:t>
      </w:r>
      <w:r>
        <w:rPr>
          <w:rFonts w:ascii="Open Sans" w:eastAsia="Times New Roman" w:hAnsi="Open Sans" w:cs="Open Sans"/>
          <w:color w:val="304547"/>
          <w:sz w:val="21"/>
          <w:szCs w:val="21"/>
        </w:rPr>
        <w:br/>
      </w:r>
      <w:r w:rsidRPr="00892891">
        <w:rPr>
          <w:rFonts w:ascii="Open Sans" w:eastAsia="Times New Roman" w:hAnsi="Open Sans" w:cs="Open Sans"/>
          <w:color w:val="304547"/>
          <w:sz w:val="21"/>
          <w:szCs w:val="21"/>
        </w:rPr>
        <w:t xml:space="preserve"> </w:t>
      </w:r>
    </w:p>
    <w:p w:rsidR="00892891" w:rsidRDefault="00892891" w:rsidP="00892891">
      <w:pPr>
        <w:pStyle w:val="ListParagraph"/>
        <w:numPr>
          <w:ilvl w:val="0"/>
          <w:numId w:val="6"/>
        </w:numPr>
        <w:shd w:val="clear" w:color="auto" w:fill="FFFFFF"/>
        <w:spacing w:after="0" w:line="240" w:lineRule="auto"/>
        <w:rPr>
          <w:rFonts w:ascii="Open Sans" w:eastAsia="Times New Roman" w:hAnsi="Open Sans" w:cs="Open Sans"/>
          <w:color w:val="304547"/>
          <w:sz w:val="21"/>
          <w:szCs w:val="21"/>
        </w:rPr>
      </w:pPr>
      <w:r w:rsidRPr="00892891">
        <w:rPr>
          <w:rFonts w:ascii="Open Sans" w:eastAsia="Times New Roman" w:hAnsi="Open Sans" w:cs="Open Sans"/>
          <w:color w:val="304547"/>
          <w:sz w:val="21"/>
          <w:szCs w:val="21"/>
        </w:rPr>
        <w:t xml:space="preserve">Early fundraising strategy should focus on very targeted requests. Research potential funders’ areas of interest and approach them for targeted grants to support one or more aspects of a </w:t>
      </w:r>
      <w:proofErr w:type="spellStart"/>
      <w:r w:rsidRPr="00892891">
        <w:rPr>
          <w:rFonts w:ascii="Open Sans" w:eastAsia="Times New Roman" w:hAnsi="Open Sans" w:cs="Open Sans"/>
          <w:color w:val="304547"/>
          <w:sz w:val="21"/>
          <w:szCs w:val="21"/>
        </w:rPr>
        <w:t>Collaborative's</w:t>
      </w:r>
      <w:proofErr w:type="spellEnd"/>
      <w:r w:rsidRPr="00892891">
        <w:rPr>
          <w:rFonts w:ascii="Open Sans" w:eastAsia="Times New Roman" w:hAnsi="Open Sans" w:cs="Open Sans"/>
          <w:color w:val="304547"/>
          <w:sz w:val="21"/>
          <w:szCs w:val="21"/>
        </w:rPr>
        <w:t xml:space="preserve"> action plan. Focused meetings with funders are opportunities to help them understand the aligned and evidence-based model, but put early energy into advocating for support of specific strategies and actions.</w:t>
      </w:r>
      <w:r>
        <w:rPr>
          <w:rFonts w:ascii="Open Sans" w:eastAsia="Times New Roman" w:hAnsi="Open Sans" w:cs="Open Sans"/>
          <w:color w:val="304547"/>
          <w:sz w:val="21"/>
          <w:szCs w:val="21"/>
        </w:rPr>
        <w:br/>
      </w:r>
    </w:p>
    <w:p w:rsidR="00892891" w:rsidRDefault="00892891" w:rsidP="00892891">
      <w:pPr>
        <w:pStyle w:val="ListParagraph"/>
        <w:numPr>
          <w:ilvl w:val="0"/>
          <w:numId w:val="6"/>
        </w:numPr>
        <w:shd w:val="clear" w:color="auto" w:fill="FFFFFF"/>
        <w:spacing w:after="0" w:line="240" w:lineRule="auto"/>
        <w:rPr>
          <w:rFonts w:ascii="Open Sans" w:eastAsia="Times New Roman" w:hAnsi="Open Sans" w:cs="Open Sans"/>
          <w:color w:val="304547"/>
          <w:sz w:val="21"/>
          <w:szCs w:val="21"/>
        </w:rPr>
      </w:pPr>
      <w:r w:rsidRPr="00892891">
        <w:rPr>
          <w:rFonts w:ascii="Open Sans" w:eastAsia="Times New Roman" w:hAnsi="Open Sans" w:cs="Open Sans"/>
          <w:color w:val="304547"/>
          <w:sz w:val="21"/>
          <w:szCs w:val="21"/>
        </w:rPr>
        <w:t>Respect funders’ timelines, processes and governance structures. Provide funders with clear data</w:t>
      </w:r>
      <w:r>
        <w:rPr>
          <w:rFonts w:ascii="Open Sans" w:eastAsia="Times New Roman" w:hAnsi="Open Sans" w:cs="Open Sans"/>
          <w:color w:val="304547"/>
          <w:sz w:val="21"/>
          <w:szCs w:val="21"/>
        </w:rPr>
        <w:t xml:space="preserve"> and goals</w:t>
      </w:r>
      <w:r w:rsidRPr="00892891">
        <w:rPr>
          <w:rFonts w:ascii="Open Sans" w:eastAsia="Times New Roman" w:hAnsi="Open Sans" w:cs="Open Sans"/>
          <w:color w:val="304547"/>
          <w:sz w:val="21"/>
          <w:szCs w:val="21"/>
        </w:rPr>
        <w:t>.</w:t>
      </w:r>
      <w:r>
        <w:rPr>
          <w:rFonts w:ascii="Open Sans" w:eastAsia="Times New Roman" w:hAnsi="Open Sans" w:cs="Open Sans"/>
          <w:color w:val="304547"/>
          <w:sz w:val="21"/>
          <w:szCs w:val="21"/>
        </w:rPr>
        <w:t xml:space="preserve"> to</w:t>
      </w:r>
      <w:r w:rsidRPr="00892891">
        <w:rPr>
          <w:rFonts w:ascii="Open Sans" w:eastAsia="Times New Roman" w:hAnsi="Open Sans" w:cs="Open Sans"/>
          <w:color w:val="304547"/>
          <w:sz w:val="21"/>
          <w:szCs w:val="21"/>
        </w:rPr>
        <w:t xml:space="preserve"> allow them to more easily coordinate </w:t>
      </w:r>
      <w:r>
        <w:rPr>
          <w:rFonts w:ascii="Open Sans" w:eastAsia="Times New Roman" w:hAnsi="Open Sans" w:cs="Open Sans"/>
          <w:color w:val="304547"/>
          <w:sz w:val="21"/>
          <w:szCs w:val="21"/>
        </w:rPr>
        <w:t>their</w:t>
      </w:r>
      <w:r w:rsidRPr="00892891">
        <w:rPr>
          <w:rFonts w:ascii="Open Sans" w:eastAsia="Times New Roman" w:hAnsi="Open Sans" w:cs="Open Sans"/>
          <w:color w:val="304547"/>
          <w:sz w:val="21"/>
          <w:szCs w:val="21"/>
        </w:rPr>
        <w:t xml:space="preserve"> efforts with </w:t>
      </w:r>
      <w:r>
        <w:rPr>
          <w:rFonts w:ascii="Open Sans" w:eastAsia="Times New Roman" w:hAnsi="Open Sans" w:cs="Open Sans"/>
          <w:color w:val="304547"/>
          <w:sz w:val="21"/>
          <w:szCs w:val="21"/>
        </w:rPr>
        <w:t>the partnership’s goals</w:t>
      </w:r>
      <w:r w:rsidRPr="00892891">
        <w:rPr>
          <w:rFonts w:ascii="Open Sans" w:eastAsia="Times New Roman" w:hAnsi="Open Sans" w:cs="Open Sans"/>
          <w:color w:val="304547"/>
          <w:sz w:val="21"/>
          <w:szCs w:val="21"/>
        </w:rPr>
        <w:t>.</w:t>
      </w:r>
      <w:r>
        <w:rPr>
          <w:rFonts w:ascii="Open Sans" w:eastAsia="Times New Roman" w:hAnsi="Open Sans" w:cs="Open Sans"/>
          <w:color w:val="304547"/>
          <w:sz w:val="21"/>
          <w:szCs w:val="21"/>
        </w:rPr>
        <w:br/>
      </w:r>
    </w:p>
    <w:p w:rsidR="00892891" w:rsidRDefault="00892891" w:rsidP="00892891">
      <w:pPr>
        <w:pStyle w:val="ListParagraph"/>
        <w:numPr>
          <w:ilvl w:val="0"/>
          <w:numId w:val="6"/>
        </w:numPr>
        <w:shd w:val="clear" w:color="auto" w:fill="FFFFFF"/>
        <w:spacing w:after="0" w:line="240" w:lineRule="auto"/>
        <w:rPr>
          <w:rFonts w:ascii="Open Sans" w:eastAsia="Times New Roman" w:hAnsi="Open Sans" w:cs="Open Sans"/>
          <w:color w:val="304547"/>
          <w:sz w:val="21"/>
          <w:szCs w:val="21"/>
        </w:rPr>
      </w:pPr>
      <w:r w:rsidRPr="00892891">
        <w:rPr>
          <w:rFonts w:ascii="Open Sans" w:eastAsia="Times New Roman" w:hAnsi="Open Sans" w:cs="Open Sans"/>
          <w:color w:val="304547"/>
          <w:sz w:val="21"/>
          <w:szCs w:val="21"/>
        </w:rPr>
        <w:t xml:space="preserve">Allow funders to maintain </w:t>
      </w:r>
      <w:r>
        <w:rPr>
          <w:rFonts w:ascii="Open Sans" w:eastAsia="Times New Roman" w:hAnsi="Open Sans" w:cs="Open Sans"/>
          <w:color w:val="304547"/>
          <w:sz w:val="21"/>
          <w:szCs w:val="21"/>
        </w:rPr>
        <w:t xml:space="preserve">authority in </w:t>
      </w:r>
      <w:r w:rsidRPr="00892891">
        <w:rPr>
          <w:rFonts w:ascii="Open Sans" w:eastAsia="Times New Roman" w:hAnsi="Open Sans" w:cs="Open Sans"/>
          <w:color w:val="304547"/>
          <w:sz w:val="21"/>
          <w:szCs w:val="21"/>
        </w:rPr>
        <w:t>funding processes. Engage them through participation on an oversight committee or some other structure within the partnership's governance structure.</w:t>
      </w:r>
      <w:r>
        <w:rPr>
          <w:rFonts w:ascii="Open Sans" w:eastAsia="Times New Roman" w:hAnsi="Open Sans" w:cs="Open Sans"/>
          <w:color w:val="304547"/>
          <w:sz w:val="21"/>
          <w:szCs w:val="21"/>
        </w:rPr>
        <w:br/>
      </w:r>
    </w:p>
    <w:p w:rsidR="00892891" w:rsidRPr="00892891" w:rsidRDefault="00892891" w:rsidP="00990D59">
      <w:pPr>
        <w:pStyle w:val="ListParagraph"/>
        <w:numPr>
          <w:ilvl w:val="0"/>
          <w:numId w:val="6"/>
        </w:numPr>
        <w:shd w:val="clear" w:color="auto" w:fill="FFFFFF"/>
        <w:spacing w:after="0" w:line="240" w:lineRule="auto"/>
        <w:rPr>
          <w:rFonts w:ascii="Open Sans" w:eastAsia="Times New Roman" w:hAnsi="Open Sans" w:cs="Open Sans"/>
          <w:color w:val="304547"/>
          <w:sz w:val="21"/>
          <w:szCs w:val="21"/>
        </w:rPr>
      </w:pPr>
      <w:r w:rsidRPr="00892891">
        <w:rPr>
          <w:rFonts w:ascii="Open Sans" w:eastAsia="Times New Roman" w:hAnsi="Open Sans" w:cs="Open Sans"/>
          <w:color w:val="304547"/>
          <w:sz w:val="21"/>
          <w:szCs w:val="21"/>
        </w:rPr>
        <w:t xml:space="preserve">Be very clear in communications with providers and the funding community about </w:t>
      </w:r>
      <w:r>
        <w:rPr>
          <w:rFonts w:ascii="Open Sans" w:eastAsia="Times New Roman" w:hAnsi="Open Sans" w:cs="Open Sans"/>
          <w:color w:val="304547"/>
          <w:sz w:val="21"/>
          <w:szCs w:val="21"/>
        </w:rPr>
        <w:t>your</w:t>
      </w:r>
      <w:r w:rsidRPr="00892891">
        <w:rPr>
          <w:rFonts w:ascii="Open Sans" w:eastAsia="Times New Roman" w:hAnsi="Open Sans" w:cs="Open Sans"/>
          <w:color w:val="304547"/>
          <w:sz w:val="21"/>
          <w:szCs w:val="21"/>
        </w:rPr>
        <w:t xml:space="preserve"> goals and methods. Use the focus on outcomes and increased return on investment as a selling point for funders.  Help providers clearly understand the role of the partnership in advocating for their work, but do not guarantee funding.</w:t>
      </w:r>
    </w:p>
    <w:sectPr w:rsidR="00892891" w:rsidRPr="00892891">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6649" w:rsidRDefault="00EF6649" w:rsidP="002A7FD0">
      <w:pPr>
        <w:spacing w:after="0" w:line="240" w:lineRule="auto"/>
      </w:pPr>
      <w:r>
        <w:separator/>
      </w:r>
    </w:p>
  </w:endnote>
  <w:endnote w:type="continuationSeparator" w:id="0">
    <w:p w:rsidR="00EF6649" w:rsidRDefault="00EF6649" w:rsidP="002A7F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 Sans">
    <w:panose1 w:val="020B0606030504020204"/>
    <w:charset w:val="00"/>
    <w:family w:val="swiss"/>
    <w:pitch w:val="variable"/>
    <w:sig w:usb0="E00002EF" w:usb1="4000205B" w:usb2="00000028" w:usb3="00000000" w:csb0="0000019F" w:csb1="00000000"/>
  </w:font>
  <w:font w:name="+mn-ea">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7FD0" w:rsidRPr="002A7FD0" w:rsidRDefault="002A7FD0">
    <w:pPr>
      <w:pStyle w:val="Footer"/>
      <w:rPr>
        <w:rFonts w:ascii="Open Sans" w:hAnsi="Open Sans" w:cs="Open Sans"/>
        <w:color w:val="415968"/>
        <w:sz w:val="18"/>
      </w:rPr>
    </w:pPr>
    <w:r w:rsidRPr="002A7FD0">
      <w:rPr>
        <w:rFonts w:ascii="Open Sans" w:hAnsi="Open Sans" w:cs="Open Sans"/>
        <w:color w:val="415968"/>
        <w:sz w:val="18"/>
      </w:rPr>
      <w:t>© StriveTogether 2016</w:t>
    </w:r>
    <w:r w:rsidRPr="002A7FD0">
      <w:rPr>
        <w:rFonts w:ascii="Open Sans" w:hAnsi="Open Sans" w:cs="Open Sans"/>
        <w:color w:val="415968"/>
        <w:sz w:val="18"/>
      </w:rPr>
      <w:tab/>
    </w:r>
    <w:r w:rsidRPr="002A7FD0">
      <w:rPr>
        <w:rFonts w:ascii="Open Sans" w:hAnsi="Open Sans" w:cs="Open Sans"/>
        <w:color w:val="415968"/>
        <w:sz w:val="18"/>
      </w:rPr>
      <w:tab/>
      <w:t xml:space="preserve">Page </w:t>
    </w:r>
    <w:r w:rsidRPr="002A7FD0">
      <w:rPr>
        <w:rFonts w:ascii="Open Sans" w:hAnsi="Open Sans" w:cs="Open Sans"/>
        <w:color w:val="415968"/>
        <w:sz w:val="18"/>
      </w:rPr>
      <w:fldChar w:fldCharType="begin"/>
    </w:r>
    <w:r w:rsidRPr="002A7FD0">
      <w:rPr>
        <w:rFonts w:ascii="Open Sans" w:hAnsi="Open Sans" w:cs="Open Sans"/>
        <w:color w:val="415968"/>
        <w:sz w:val="18"/>
      </w:rPr>
      <w:instrText xml:space="preserve"> PAGE   \* MERGEFORMAT </w:instrText>
    </w:r>
    <w:r w:rsidRPr="002A7FD0">
      <w:rPr>
        <w:rFonts w:ascii="Open Sans" w:hAnsi="Open Sans" w:cs="Open Sans"/>
        <w:color w:val="415968"/>
        <w:sz w:val="18"/>
      </w:rPr>
      <w:fldChar w:fldCharType="separate"/>
    </w:r>
    <w:r w:rsidR="007867EE">
      <w:rPr>
        <w:rFonts w:ascii="Open Sans" w:hAnsi="Open Sans" w:cs="Open Sans"/>
        <w:noProof/>
        <w:color w:val="415968"/>
        <w:sz w:val="18"/>
      </w:rPr>
      <w:t>4</w:t>
    </w:r>
    <w:r w:rsidRPr="002A7FD0">
      <w:rPr>
        <w:rFonts w:ascii="Open Sans" w:hAnsi="Open Sans" w:cs="Open Sans"/>
        <w:noProof/>
        <w:color w:val="415968"/>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6649" w:rsidRDefault="00EF6649" w:rsidP="002A7FD0">
      <w:pPr>
        <w:spacing w:after="0" w:line="240" w:lineRule="auto"/>
      </w:pPr>
      <w:r>
        <w:separator/>
      </w:r>
    </w:p>
  </w:footnote>
  <w:footnote w:type="continuationSeparator" w:id="0">
    <w:p w:rsidR="00EF6649" w:rsidRDefault="00EF6649" w:rsidP="002A7FD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A52A2E"/>
    <w:multiLevelType w:val="hybridMultilevel"/>
    <w:tmpl w:val="F788C186"/>
    <w:lvl w:ilvl="0" w:tplc="1F6AB1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7784DC6"/>
    <w:multiLevelType w:val="hybridMultilevel"/>
    <w:tmpl w:val="835E3FDA"/>
    <w:lvl w:ilvl="0" w:tplc="90C8E520">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9EF368B"/>
    <w:multiLevelType w:val="hybridMultilevel"/>
    <w:tmpl w:val="3CC85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AD6671A"/>
    <w:multiLevelType w:val="hybridMultilevel"/>
    <w:tmpl w:val="4D60A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83566B6"/>
    <w:multiLevelType w:val="multilevel"/>
    <w:tmpl w:val="4112A9D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FAF219C"/>
    <w:multiLevelType w:val="hybridMultilevel"/>
    <w:tmpl w:val="1E504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2839"/>
    <w:rsid w:val="00195E31"/>
    <w:rsid w:val="002A7FD0"/>
    <w:rsid w:val="00305963"/>
    <w:rsid w:val="00361517"/>
    <w:rsid w:val="00573AD7"/>
    <w:rsid w:val="00775F36"/>
    <w:rsid w:val="007867EE"/>
    <w:rsid w:val="007F2839"/>
    <w:rsid w:val="00892891"/>
    <w:rsid w:val="00904A89"/>
    <w:rsid w:val="00990D59"/>
    <w:rsid w:val="00A97B1D"/>
    <w:rsid w:val="00E16053"/>
    <w:rsid w:val="00EF66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F6D7519-2A68-4320-8831-F32D72DEC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7F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7FD0"/>
  </w:style>
  <w:style w:type="paragraph" w:styleId="Footer">
    <w:name w:val="footer"/>
    <w:basedOn w:val="Normal"/>
    <w:link w:val="FooterChar"/>
    <w:uiPriority w:val="99"/>
    <w:unhideWhenUsed/>
    <w:rsid w:val="002A7F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7FD0"/>
  </w:style>
  <w:style w:type="paragraph" w:styleId="NormalWeb">
    <w:name w:val="Normal (Web)"/>
    <w:basedOn w:val="Normal"/>
    <w:uiPriority w:val="99"/>
    <w:semiHidden/>
    <w:unhideWhenUsed/>
    <w:rsid w:val="002A7FD0"/>
    <w:pPr>
      <w:spacing w:before="100" w:beforeAutospacing="1" w:after="100" w:afterAutospacing="1" w:line="240" w:lineRule="auto"/>
    </w:pPr>
    <w:rPr>
      <w:rFonts w:ascii="Times New Roman" w:eastAsiaTheme="minorEastAsia" w:hAnsi="Times New Roman" w:cs="Times New Roman"/>
      <w:sz w:val="24"/>
      <w:szCs w:val="24"/>
    </w:rPr>
  </w:style>
  <w:style w:type="paragraph" w:styleId="NoSpacing">
    <w:name w:val="No Spacing"/>
    <w:uiPriority w:val="1"/>
    <w:qFormat/>
    <w:rsid w:val="00E16053"/>
    <w:pPr>
      <w:spacing w:after="0" w:line="240" w:lineRule="auto"/>
    </w:pPr>
  </w:style>
  <w:style w:type="character" w:customStyle="1" w:styleId="apple-converted-space">
    <w:name w:val="apple-converted-space"/>
    <w:basedOn w:val="DefaultParagraphFont"/>
    <w:rsid w:val="007F2839"/>
  </w:style>
  <w:style w:type="character" w:styleId="Hyperlink">
    <w:name w:val="Hyperlink"/>
    <w:basedOn w:val="DefaultParagraphFont"/>
    <w:uiPriority w:val="99"/>
    <w:unhideWhenUsed/>
    <w:rsid w:val="007F2839"/>
    <w:rPr>
      <w:color w:val="0000FF"/>
      <w:u w:val="single"/>
    </w:rPr>
  </w:style>
  <w:style w:type="character" w:styleId="Strong">
    <w:name w:val="Strong"/>
    <w:basedOn w:val="DefaultParagraphFont"/>
    <w:uiPriority w:val="22"/>
    <w:qFormat/>
    <w:rsid w:val="007F2839"/>
    <w:rPr>
      <w:b/>
      <w:bCs/>
    </w:rPr>
  </w:style>
  <w:style w:type="paragraph" w:styleId="ListParagraph">
    <w:name w:val="List Paragraph"/>
    <w:basedOn w:val="Normal"/>
    <w:uiPriority w:val="34"/>
    <w:qFormat/>
    <w:rsid w:val="00990D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5701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funders.org/" TargetMode="External"/><Relationship Id="rId13" Type="http://schemas.openxmlformats.org/officeDocument/2006/relationships/hyperlink" Target="https://ssir.org/articles/entry/ecosystem_investing_achieving_impact_at_scal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3.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strivetogether.org/blog/wp-content/uploads/2014/08/investor-impact.jpg" TargetMode="External"/><Relationship Id="rId4" Type="http://schemas.openxmlformats.org/officeDocument/2006/relationships/webSettings" Target="webSettings.xml"/><Relationship Id="rId9" Type="http://schemas.openxmlformats.org/officeDocument/2006/relationships/hyperlink" Target="http://www.strivetogether.org/sites/default/files/images/investors-role-collective-Impact-lessons-leasrned.pdf"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Egnyte\Private\santhosh-kumarp\Resourc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Resource Template</Template>
  <TotalTime>32</TotalTime>
  <Pages>4</Pages>
  <Words>1632</Words>
  <Characters>9306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knowledgeworks.org</Company>
  <LinksUpToDate>false</LinksUpToDate>
  <CharactersWithSpaces>10917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Santhosh-Kumar, Parvathi</dc:creator>
  <cp:lastModifiedBy>Santhosh-Kumar, Parvathi</cp:lastModifiedBy>
  <cp:revision>2</cp:revision>
  <dcterms:created xsi:type="dcterms:W3CDTF">2017-02-24T20:10:00Z</dcterms:created>
  <dcterms:modified xsi:type="dcterms:W3CDTF">2017-02-24T21:32:00Z</dcterms:modified>
</cp:coreProperties>
</file>